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9075" w14:textId="5CE7F85A" w:rsidR="00FE02D7" w:rsidRPr="007D2A00" w:rsidRDefault="004B6A7D" w:rsidP="00FE02D7">
      <w:pPr>
        <w:spacing w:after="120"/>
        <w:jc w:val="center"/>
        <w:rPr>
          <w:rFonts w:ascii="Times New Roman" w:hAnsi="Times New Roman"/>
          <w:u w:val="single"/>
        </w:rPr>
      </w:pPr>
      <w:r w:rsidRPr="004B6A7D">
        <w:rPr>
          <w:rFonts w:ascii="Times New Roman" w:hAnsi="Times New Roman"/>
          <w:u w:val="single"/>
        </w:rPr>
        <w:t>Memo for the House of Commons Work and Pensions Committee</w:t>
      </w:r>
    </w:p>
    <w:p w14:paraId="42A248B3" w14:textId="1CA49595" w:rsidR="008A3719" w:rsidRPr="007D2A00" w:rsidRDefault="004B6A7D" w:rsidP="0011401F">
      <w:pPr>
        <w:spacing w:after="240"/>
        <w:jc w:val="center"/>
        <w:rPr>
          <w:rFonts w:ascii="Times New Roman" w:hAnsi="Times New Roman"/>
          <w:i/>
          <w:iCs/>
          <w:u w:val="single"/>
        </w:rPr>
      </w:pPr>
      <w:r w:rsidRPr="004B6A7D">
        <w:rPr>
          <w:rFonts w:ascii="Times New Roman" w:hAnsi="Times New Roman"/>
          <w:u w:val="single"/>
        </w:rPr>
        <w:t>Pre-settled Status and benefits:</w:t>
      </w:r>
      <w:r w:rsidR="00FE02D7" w:rsidRPr="007D2A00">
        <w:rPr>
          <w:rFonts w:ascii="Times New Roman" w:hAnsi="Times New Roman"/>
          <w:u w:val="single"/>
        </w:rPr>
        <w:t xml:space="preserve"> C-709/20 </w:t>
      </w:r>
      <w:r w:rsidR="00FE02D7" w:rsidRPr="007D2A00">
        <w:rPr>
          <w:rFonts w:ascii="Times New Roman" w:hAnsi="Times New Roman"/>
          <w:i/>
          <w:iCs/>
          <w:u w:val="single"/>
        </w:rPr>
        <w:t>CG v the Department for Communities in Northern Ireland</w:t>
      </w:r>
    </w:p>
    <w:p w14:paraId="735EBBC6" w14:textId="346034E5" w:rsidR="008A3719" w:rsidRPr="00FE02D7" w:rsidRDefault="00FE02D7" w:rsidP="0011401F">
      <w:pPr>
        <w:spacing w:after="120"/>
        <w:jc w:val="both"/>
        <w:rPr>
          <w:rFonts w:ascii="Times New Roman" w:hAnsi="Times New Roman"/>
          <w:i/>
          <w:iCs/>
        </w:rPr>
      </w:pPr>
      <w:r>
        <w:rPr>
          <w:rFonts w:ascii="Times New Roman" w:hAnsi="Times New Roman"/>
          <w:i/>
          <w:iCs/>
        </w:rPr>
        <w:t>The rules at issue</w:t>
      </w:r>
    </w:p>
    <w:p w14:paraId="46321207" w14:textId="3518751E" w:rsidR="00AC2918" w:rsidRPr="00FE02D7" w:rsidRDefault="00AC2918" w:rsidP="0011401F">
      <w:pPr>
        <w:pStyle w:val="ListParagraph"/>
        <w:numPr>
          <w:ilvl w:val="0"/>
          <w:numId w:val="1"/>
        </w:numPr>
        <w:spacing w:after="120"/>
        <w:ind w:left="357" w:hanging="357"/>
        <w:contextualSpacing w:val="0"/>
        <w:jc w:val="both"/>
        <w:rPr>
          <w:rFonts w:ascii="Times New Roman" w:hAnsi="Times New Roman"/>
        </w:rPr>
      </w:pPr>
      <w:r w:rsidRPr="00FE02D7">
        <w:rPr>
          <w:rFonts w:ascii="Times New Roman" w:hAnsi="Times New Roman"/>
        </w:rPr>
        <w:t>Prior to Brexit, EU nationals</w:t>
      </w:r>
      <w:r w:rsidR="004B6A7D">
        <w:rPr>
          <w:rFonts w:ascii="Times New Roman" w:hAnsi="Times New Roman"/>
        </w:rPr>
        <w:t xml:space="preserve"> and their family members</w:t>
      </w:r>
      <w:r w:rsidRPr="00FE02D7">
        <w:rPr>
          <w:rFonts w:ascii="Times New Roman" w:hAnsi="Times New Roman"/>
        </w:rPr>
        <w:t xml:space="preserve"> had to show they had a </w:t>
      </w:r>
      <w:r w:rsidR="00C03136">
        <w:rPr>
          <w:rFonts w:ascii="Times New Roman" w:hAnsi="Times New Roman"/>
        </w:rPr>
        <w:t>“</w:t>
      </w:r>
      <w:r w:rsidRPr="00FE02D7">
        <w:rPr>
          <w:rFonts w:ascii="Times New Roman" w:hAnsi="Times New Roman"/>
        </w:rPr>
        <w:t>right to reside</w:t>
      </w:r>
      <w:r w:rsidR="00C03136">
        <w:rPr>
          <w:rFonts w:ascii="Times New Roman" w:hAnsi="Times New Roman"/>
        </w:rPr>
        <w:t>”</w:t>
      </w:r>
      <w:r w:rsidRPr="00FE02D7">
        <w:rPr>
          <w:rFonts w:ascii="Times New Roman" w:hAnsi="Times New Roman"/>
        </w:rPr>
        <w:t xml:space="preserve"> in order to be eligible for key benefits. This typically meant being </w:t>
      </w:r>
      <w:r w:rsidR="004B6A7D">
        <w:rPr>
          <w:rFonts w:ascii="Times New Roman" w:hAnsi="Times New Roman"/>
        </w:rPr>
        <w:t>a worker, or being the family member of a worker, and/or having kept that status for five years to gain permanent residence</w:t>
      </w:r>
      <w:r w:rsidRPr="00FE02D7">
        <w:rPr>
          <w:rFonts w:ascii="Times New Roman" w:hAnsi="Times New Roman"/>
        </w:rPr>
        <w:t xml:space="preserve">. In preparation for leaving the EU, the UK government launched the EU Settled Status scheme in March 2019, </w:t>
      </w:r>
      <w:r w:rsidR="004B6A7D">
        <w:rPr>
          <w:rFonts w:ascii="Times New Roman" w:hAnsi="Times New Roman"/>
        </w:rPr>
        <w:t>creating</w:t>
      </w:r>
      <w:r w:rsidRPr="00FE02D7">
        <w:rPr>
          <w:rFonts w:ascii="Times New Roman" w:hAnsi="Times New Roman"/>
        </w:rPr>
        <w:t xml:space="preserve"> two new rights to reside – settled status and pre-settled status. All EU </w:t>
      </w:r>
      <w:proofErr w:type="gramStart"/>
      <w:r w:rsidRPr="00FE02D7">
        <w:rPr>
          <w:rFonts w:ascii="Times New Roman" w:hAnsi="Times New Roman"/>
        </w:rPr>
        <w:t>nationals</w:t>
      </w:r>
      <w:proofErr w:type="gramEnd"/>
      <w:r w:rsidRPr="00FE02D7">
        <w:rPr>
          <w:rFonts w:ascii="Times New Roman" w:hAnsi="Times New Roman"/>
        </w:rPr>
        <w:t xml:space="preserve"> resident in the UK at the end of the transition period who want(ed) to continue to live in the UK thereafter </w:t>
      </w:r>
      <w:r w:rsidR="000A222F">
        <w:rPr>
          <w:rFonts w:ascii="Times New Roman" w:hAnsi="Times New Roman"/>
        </w:rPr>
        <w:t xml:space="preserve">were, and still </w:t>
      </w:r>
      <w:r w:rsidRPr="00FE02D7">
        <w:rPr>
          <w:rFonts w:ascii="Times New Roman" w:hAnsi="Times New Roman"/>
        </w:rPr>
        <w:t>are</w:t>
      </w:r>
      <w:r w:rsidR="000A222F">
        <w:rPr>
          <w:rFonts w:ascii="Times New Roman" w:hAnsi="Times New Roman"/>
        </w:rPr>
        <w:t>,</w:t>
      </w:r>
      <w:r w:rsidRPr="00FE02D7">
        <w:rPr>
          <w:rFonts w:ascii="Times New Roman" w:hAnsi="Times New Roman"/>
        </w:rPr>
        <w:t xml:space="preserve"> required to apply to the EUSS.</w:t>
      </w:r>
    </w:p>
    <w:p w14:paraId="685AE7D6" w14:textId="25D337D3" w:rsidR="00AC2918" w:rsidRPr="00FE02D7" w:rsidRDefault="00AC2918" w:rsidP="0011401F">
      <w:pPr>
        <w:pStyle w:val="ListParagraph"/>
        <w:numPr>
          <w:ilvl w:val="0"/>
          <w:numId w:val="1"/>
        </w:numPr>
        <w:spacing w:after="240"/>
        <w:ind w:left="357" w:hanging="357"/>
        <w:contextualSpacing w:val="0"/>
        <w:jc w:val="both"/>
        <w:rPr>
          <w:rFonts w:ascii="Times New Roman" w:hAnsi="Times New Roman"/>
        </w:rPr>
      </w:pPr>
      <w:r w:rsidRPr="00FE02D7">
        <w:rPr>
          <w:rFonts w:ascii="Times New Roman" w:hAnsi="Times New Roman"/>
        </w:rPr>
        <w:t xml:space="preserve">The </w:t>
      </w:r>
      <w:r w:rsidR="000A222F">
        <w:rPr>
          <w:rFonts w:ascii="Times New Roman" w:hAnsi="Times New Roman"/>
        </w:rPr>
        <w:t xml:space="preserve">UK </w:t>
      </w:r>
      <w:r w:rsidRPr="00FE02D7">
        <w:rPr>
          <w:rFonts w:ascii="Times New Roman" w:hAnsi="Times New Roman"/>
        </w:rPr>
        <w:t xml:space="preserve">government then laid new regulations, The Social Security (Income-related Benefits) (Updating and Amendment) (EU Exit) Regulations 2019, which came into force in May 2019, to </w:t>
      </w:r>
      <w:r w:rsidR="004B6A7D">
        <w:rPr>
          <w:rFonts w:ascii="Times New Roman" w:hAnsi="Times New Roman"/>
        </w:rPr>
        <w:t>stop</w:t>
      </w:r>
      <w:r w:rsidRPr="00FE02D7">
        <w:rPr>
          <w:rFonts w:ascii="Times New Roman" w:hAnsi="Times New Roman"/>
        </w:rPr>
        <w:t xml:space="preserve"> pre-settled status from </w:t>
      </w:r>
      <w:r w:rsidR="004B6A7D">
        <w:rPr>
          <w:rFonts w:ascii="Times New Roman" w:hAnsi="Times New Roman"/>
        </w:rPr>
        <w:t xml:space="preserve">counting as a </w:t>
      </w:r>
      <w:r w:rsidRPr="00FE02D7">
        <w:rPr>
          <w:rFonts w:ascii="Times New Roman" w:hAnsi="Times New Roman"/>
        </w:rPr>
        <w:t xml:space="preserve">right to reside </w:t>
      </w:r>
      <w:r w:rsidR="004B6A7D">
        <w:rPr>
          <w:rFonts w:ascii="Times New Roman" w:hAnsi="Times New Roman"/>
        </w:rPr>
        <w:t xml:space="preserve">when claiming </w:t>
      </w:r>
      <w:r w:rsidRPr="00FE02D7">
        <w:rPr>
          <w:rFonts w:ascii="Times New Roman" w:hAnsi="Times New Roman"/>
        </w:rPr>
        <w:t>benefits</w:t>
      </w:r>
      <w:r w:rsidR="00FC70CA">
        <w:rPr>
          <w:rFonts w:ascii="Times New Roman" w:hAnsi="Times New Roman"/>
        </w:rPr>
        <w:t>, effectively requiring an additional right to reside for benefit eligibility</w:t>
      </w:r>
      <w:r w:rsidR="004B6A7D">
        <w:rPr>
          <w:rFonts w:ascii="Times New Roman" w:hAnsi="Times New Roman"/>
        </w:rPr>
        <w:t xml:space="preserve">. </w:t>
      </w:r>
      <w:r w:rsidR="001513D2">
        <w:rPr>
          <w:rFonts w:ascii="Times New Roman" w:hAnsi="Times New Roman"/>
        </w:rPr>
        <w:t>In two separate high</w:t>
      </w:r>
      <w:r w:rsidR="00FC70CA">
        <w:rPr>
          <w:rFonts w:ascii="Times New Roman" w:hAnsi="Times New Roman"/>
        </w:rPr>
        <w:t>-</w:t>
      </w:r>
      <w:r w:rsidR="001513D2">
        <w:rPr>
          <w:rFonts w:ascii="Times New Roman" w:hAnsi="Times New Roman"/>
        </w:rPr>
        <w:t>profile cases, claimants have challenged t</w:t>
      </w:r>
      <w:r w:rsidRPr="00FE02D7">
        <w:rPr>
          <w:rFonts w:ascii="Times New Roman" w:hAnsi="Times New Roman"/>
        </w:rPr>
        <w:t>hese regulations as discrimina</w:t>
      </w:r>
      <w:r w:rsidR="000A222F">
        <w:rPr>
          <w:rFonts w:ascii="Times New Roman" w:hAnsi="Times New Roman"/>
        </w:rPr>
        <w:t>t</w:t>
      </w:r>
      <w:r w:rsidR="001513D2">
        <w:rPr>
          <w:rFonts w:ascii="Times New Roman" w:hAnsi="Times New Roman"/>
        </w:rPr>
        <w:t xml:space="preserve">ing </w:t>
      </w:r>
      <w:proofErr w:type="gramStart"/>
      <w:r w:rsidR="001513D2">
        <w:rPr>
          <w:rFonts w:ascii="Times New Roman" w:hAnsi="Times New Roman"/>
        </w:rPr>
        <w:t>on the basis of</w:t>
      </w:r>
      <w:proofErr w:type="gramEnd"/>
      <w:r w:rsidR="001513D2">
        <w:rPr>
          <w:rFonts w:ascii="Times New Roman" w:hAnsi="Times New Roman"/>
        </w:rPr>
        <w:t xml:space="preserve"> nationality</w:t>
      </w:r>
      <w:r w:rsidRPr="00FE02D7">
        <w:rPr>
          <w:rFonts w:ascii="Times New Roman" w:hAnsi="Times New Roman"/>
        </w:rPr>
        <w:t>.</w:t>
      </w:r>
    </w:p>
    <w:p w14:paraId="0292F483" w14:textId="21671974" w:rsidR="008A3719" w:rsidRPr="00FE02D7" w:rsidRDefault="00FE02D7" w:rsidP="007D2A00">
      <w:pPr>
        <w:spacing w:after="120"/>
        <w:jc w:val="both"/>
        <w:rPr>
          <w:rFonts w:ascii="Times New Roman" w:hAnsi="Times New Roman"/>
          <w:i/>
          <w:iCs/>
        </w:rPr>
      </w:pPr>
      <w:r>
        <w:rPr>
          <w:rFonts w:ascii="Times New Roman" w:hAnsi="Times New Roman"/>
          <w:i/>
          <w:iCs/>
        </w:rPr>
        <w:t>The parallel cases</w:t>
      </w:r>
    </w:p>
    <w:p w14:paraId="76087143" w14:textId="3B81DB74" w:rsidR="00883107" w:rsidRPr="001513D2" w:rsidRDefault="004B6A7D" w:rsidP="006C30F6">
      <w:pPr>
        <w:pStyle w:val="ListParagraph"/>
        <w:numPr>
          <w:ilvl w:val="0"/>
          <w:numId w:val="1"/>
        </w:numPr>
        <w:spacing w:after="120"/>
        <w:contextualSpacing w:val="0"/>
        <w:jc w:val="both"/>
        <w:rPr>
          <w:rFonts w:ascii="Times New Roman" w:hAnsi="Times New Roman"/>
        </w:rPr>
      </w:pPr>
      <w:r w:rsidRPr="004B6A7D">
        <w:rPr>
          <w:rFonts w:ascii="Times New Roman" w:hAnsi="Times New Roman"/>
        </w:rPr>
        <w:t xml:space="preserve">The facts of </w:t>
      </w:r>
      <w:proofErr w:type="spellStart"/>
      <w:r w:rsidRPr="004B6A7D">
        <w:rPr>
          <w:rFonts w:ascii="Times New Roman" w:hAnsi="Times New Roman"/>
          <w:i/>
          <w:iCs/>
        </w:rPr>
        <w:t>Fratila</w:t>
      </w:r>
      <w:proofErr w:type="spellEnd"/>
      <w:r w:rsidRPr="004B6A7D">
        <w:rPr>
          <w:rFonts w:ascii="Times New Roman" w:hAnsi="Times New Roman"/>
          <w:i/>
          <w:iCs/>
        </w:rPr>
        <w:t xml:space="preserve"> &amp; Anor v Secretary of State for Works and Pensions &amp; Anor</w:t>
      </w:r>
      <w:r w:rsidRPr="004B6A7D">
        <w:rPr>
          <w:rFonts w:ascii="Times New Roman" w:hAnsi="Times New Roman"/>
        </w:rPr>
        <w:t xml:space="preserve"> [2020] EWCA </w:t>
      </w:r>
      <w:proofErr w:type="spellStart"/>
      <w:r w:rsidRPr="004B6A7D">
        <w:rPr>
          <w:rFonts w:ascii="Times New Roman" w:hAnsi="Times New Roman"/>
        </w:rPr>
        <w:t>Civ</w:t>
      </w:r>
      <w:proofErr w:type="spellEnd"/>
      <w:r w:rsidRPr="004B6A7D">
        <w:rPr>
          <w:rFonts w:ascii="Times New Roman" w:hAnsi="Times New Roman"/>
        </w:rPr>
        <w:t xml:space="preserve"> 174</w:t>
      </w:r>
      <w:r>
        <w:rPr>
          <w:rFonts w:ascii="Times New Roman" w:hAnsi="Times New Roman"/>
        </w:rPr>
        <w:t xml:space="preserve"> </w:t>
      </w:r>
      <w:r w:rsidRPr="004B6A7D">
        <w:rPr>
          <w:rFonts w:ascii="Times New Roman" w:hAnsi="Times New Roman"/>
        </w:rPr>
        <w:t xml:space="preserve">arose before the end of the Brexit transition period, and so EU law applied. </w:t>
      </w:r>
      <w:r>
        <w:rPr>
          <w:rFonts w:ascii="Times New Roman" w:hAnsi="Times New Roman"/>
        </w:rPr>
        <w:t>T</w:t>
      </w:r>
      <w:r w:rsidR="00BC1F58" w:rsidRPr="001513D2">
        <w:rPr>
          <w:rFonts w:ascii="Times New Roman" w:hAnsi="Times New Roman"/>
        </w:rPr>
        <w:t>he claimants argued that the regulations treated EU nationals with a domestic right to reside differently from UK nationals with a domestic right to reside</w:t>
      </w:r>
      <w:r w:rsidR="000A222F" w:rsidRPr="001513D2">
        <w:rPr>
          <w:rFonts w:ascii="Times New Roman" w:hAnsi="Times New Roman"/>
        </w:rPr>
        <w:t>,</w:t>
      </w:r>
      <w:r w:rsidR="00BC1F58" w:rsidRPr="001513D2">
        <w:rPr>
          <w:rFonts w:ascii="Times New Roman" w:hAnsi="Times New Roman"/>
        </w:rPr>
        <w:t xml:space="preserve"> contrary to Article 18 TFEU, invoking the case of </w:t>
      </w:r>
      <w:r>
        <w:rPr>
          <w:rFonts w:ascii="Times New Roman" w:hAnsi="Times New Roman"/>
        </w:rPr>
        <w:t xml:space="preserve">C-456/02 </w:t>
      </w:r>
      <w:r w:rsidR="00BC1F58" w:rsidRPr="001513D2">
        <w:rPr>
          <w:rFonts w:ascii="Times New Roman" w:hAnsi="Times New Roman"/>
          <w:i/>
          <w:iCs/>
        </w:rPr>
        <w:t>Trojani</w:t>
      </w:r>
      <w:r w:rsidR="00883107" w:rsidRPr="001513D2">
        <w:rPr>
          <w:rFonts w:ascii="Times New Roman" w:hAnsi="Times New Roman"/>
        </w:rPr>
        <w:t xml:space="preserve">, in which an EU migrant </w:t>
      </w:r>
      <w:r>
        <w:rPr>
          <w:rFonts w:ascii="Times New Roman" w:hAnsi="Times New Roman"/>
        </w:rPr>
        <w:t xml:space="preserve">who had </w:t>
      </w:r>
      <w:r w:rsidR="00883107" w:rsidRPr="001513D2">
        <w:rPr>
          <w:rFonts w:ascii="Times New Roman" w:hAnsi="Times New Roman"/>
        </w:rPr>
        <w:t>a residence permit based on national law</w:t>
      </w:r>
      <w:r>
        <w:rPr>
          <w:rFonts w:ascii="Times New Roman" w:hAnsi="Times New Roman"/>
        </w:rPr>
        <w:t>,</w:t>
      </w:r>
      <w:r w:rsidR="00883107" w:rsidRPr="001513D2">
        <w:rPr>
          <w:rFonts w:ascii="Times New Roman" w:hAnsi="Times New Roman"/>
        </w:rPr>
        <w:t xml:space="preserve"> was entitled to rely on </w:t>
      </w:r>
      <w:r>
        <w:rPr>
          <w:rFonts w:ascii="Times New Roman" w:hAnsi="Times New Roman"/>
        </w:rPr>
        <w:t xml:space="preserve">EU </w:t>
      </w:r>
      <w:r w:rsidR="00883107" w:rsidRPr="001513D2">
        <w:rPr>
          <w:rFonts w:ascii="Times New Roman" w:hAnsi="Times New Roman"/>
        </w:rPr>
        <w:t>equal treatment provisions.</w:t>
      </w:r>
    </w:p>
    <w:p w14:paraId="3CB0A3A1" w14:textId="5D03D389" w:rsidR="008A3719" w:rsidRPr="00FE02D7" w:rsidRDefault="00BC1F58" w:rsidP="007D2A00">
      <w:pPr>
        <w:pStyle w:val="ListParagraph"/>
        <w:numPr>
          <w:ilvl w:val="0"/>
          <w:numId w:val="1"/>
        </w:numPr>
        <w:spacing w:after="120"/>
        <w:contextualSpacing w:val="0"/>
        <w:jc w:val="both"/>
        <w:rPr>
          <w:rFonts w:ascii="Times New Roman" w:hAnsi="Times New Roman"/>
        </w:rPr>
      </w:pPr>
      <w:r w:rsidRPr="00FE02D7">
        <w:rPr>
          <w:rFonts w:ascii="Times New Roman" w:hAnsi="Times New Roman"/>
        </w:rPr>
        <w:t xml:space="preserve">This argument was successful before the Court of Appeal of England and Wales, which gave a ruling on the </w:t>
      </w:r>
      <w:proofErr w:type="gramStart"/>
      <w:r w:rsidRPr="00FE02D7">
        <w:rPr>
          <w:rFonts w:ascii="Times New Roman" w:hAnsi="Times New Roman"/>
        </w:rPr>
        <w:t>18</w:t>
      </w:r>
      <w:r w:rsidRPr="00FE02D7">
        <w:rPr>
          <w:rFonts w:ascii="Times New Roman" w:hAnsi="Times New Roman"/>
          <w:vertAlign w:val="superscript"/>
        </w:rPr>
        <w:t>th</w:t>
      </w:r>
      <w:proofErr w:type="gramEnd"/>
      <w:r w:rsidRPr="00FE02D7">
        <w:rPr>
          <w:rFonts w:ascii="Times New Roman" w:hAnsi="Times New Roman"/>
        </w:rPr>
        <w:t xml:space="preserve"> December 2020 quashing the regulations at issue. </w:t>
      </w:r>
      <w:r w:rsidR="009433FA">
        <w:rPr>
          <w:rFonts w:ascii="Times New Roman" w:hAnsi="Times New Roman"/>
        </w:rPr>
        <w:t>SSWP</w:t>
      </w:r>
      <w:r w:rsidRPr="00FE02D7">
        <w:rPr>
          <w:rFonts w:ascii="Times New Roman" w:hAnsi="Times New Roman"/>
        </w:rPr>
        <w:t xml:space="preserve"> </w:t>
      </w:r>
      <w:r w:rsidR="004B6A7D">
        <w:rPr>
          <w:rFonts w:ascii="Times New Roman" w:hAnsi="Times New Roman"/>
        </w:rPr>
        <w:t xml:space="preserve">was granted permission to appeal </w:t>
      </w:r>
      <w:r w:rsidRPr="00FE02D7">
        <w:rPr>
          <w:rFonts w:ascii="Times New Roman" w:hAnsi="Times New Roman"/>
        </w:rPr>
        <w:t>to the UK Supreme Court, but the UKSC hearing was adjourned pending the outcome of a parallel case which had, in the meantime, been referred to the CJEU.</w:t>
      </w:r>
    </w:p>
    <w:p w14:paraId="11D5A286" w14:textId="60B4DDAF" w:rsidR="00BC1F58" w:rsidRPr="00FE02D7" w:rsidRDefault="00BC1F58" w:rsidP="0011401F">
      <w:pPr>
        <w:pStyle w:val="ListParagraph"/>
        <w:numPr>
          <w:ilvl w:val="0"/>
          <w:numId w:val="1"/>
        </w:numPr>
        <w:spacing w:after="240"/>
        <w:ind w:left="357" w:hanging="357"/>
        <w:contextualSpacing w:val="0"/>
        <w:jc w:val="both"/>
        <w:rPr>
          <w:rFonts w:ascii="Times New Roman" w:hAnsi="Times New Roman"/>
        </w:rPr>
      </w:pPr>
      <w:r w:rsidRPr="00FE02D7">
        <w:rPr>
          <w:rFonts w:ascii="Times New Roman" w:hAnsi="Times New Roman"/>
        </w:rPr>
        <w:t>A first</w:t>
      </w:r>
      <w:r w:rsidR="00FE02D7">
        <w:rPr>
          <w:rFonts w:ascii="Times New Roman" w:hAnsi="Times New Roman"/>
        </w:rPr>
        <w:t>-</w:t>
      </w:r>
      <w:r w:rsidRPr="00FE02D7">
        <w:rPr>
          <w:rFonts w:ascii="Times New Roman" w:hAnsi="Times New Roman"/>
        </w:rPr>
        <w:t xml:space="preserve">tier social security tribunal in Northern Ireland, hearing the case of </w:t>
      </w:r>
      <w:r w:rsidRPr="001513D2">
        <w:rPr>
          <w:rFonts w:ascii="Times New Roman" w:hAnsi="Times New Roman"/>
          <w:i/>
          <w:iCs/>
        </w:rPr>
        <w:t>CG v Dept for Communities</w:t>
      </w:r>
      <w:r w:rsidRPr="00FE02D7">
        <w:rPr>
          <w:rFonts w:ascii="Times New Roman" w:hAnsi="Times New Roman"/>
        </w:rPr>
        <w:t xml:space="preserve">, referred questions on the exact same points raised in </w:t>
      </w:r>
      <w:proofErr w:type="spellStart"/>
      <w:r w:rsidRPr="00FE02D7">
        <w:rPr>
          <w:rFonts w:ascii="Times New Roman" w:hAnsi="Times New Roman"/>
          <w:i/>
          <w:iCs/>
        </w:rPr>
        <w:t>Fratila</w:t>
      </w:r>
      <w:proofErr w:type="spellEnd"/>
      <w:r w:rsidRPr="00FE02D7">
        <w:rPr>
          <w:rFonts w:ascii="Times New Roman" w:hAnsi="Times New Roman"/>
        </w:rPr>
        <w:t>, to the CJEU, on 30</w:t>
      </w:r>
      <w:r w:rsidRPr="00FE02D7">
        <w:rPr>
          <w:rFonts w:ascii="Times New Roman" w:hAnsi="Times New Roman"/>
          <w:vertAlign w:val="superscript"/>
        </w:rPr>
        <w:t>th</w:t>
      </w:r>
      <w:r w:rsidRPr="00FE02D7">
        <w:rPr>
          <w:rFonts w:ascii="Times New Roman" w:hAnsi="Times New Roman"/>
        </w:rPr>
        <w:t xml:space="preserve"> December 2020, and requested an expedited hearing. This was granted, and the case was heard in May 2021</w:t>
      </w:r>
      <w:r w:rsidR="001513D2">
        <w:rPr>
          <w:rFonts w:ascii="Times New Roman" w:hAnsi="Times New Roman"/>
        </w:rPr>
        <w:t xml:space="preserve"> – Case C-709/20</w:t>
      </w:r>
      <w:r w:rsidRPr="00FE02D7">
        <w:rPr>
          <w:rFonts w:ascii="Times New Roman" w:hAnsi="Times New Roman"/>
        </w:rPr>
        <w:t>. The Advocate General issued an Opinion on 24</w:t>
      </w:r>
      <w:r w:rsidRPr="00FE02D7">
        <w:rPr>
          <w:rFonts w:ascii="Times New Roman" w:hAnsi="Times New Roman"/>
          <w:vertAlign w:val="superscript"/>
        </w:rPr>
        <w:t>th</w:t>
      </w:r>
      <w:r w:rsidRPr="00FE02D7">
        <w:rPr>
          <w:rFonts w:ascii="Times New Roman" w:hAnsi="Times New Roman"/>
        </w:rPr>
        <w:t xml:space="preserve"> June 2021, and the CJEU handed down its judgment on 15</w:t>
      </w:r>
      <w:r w:rsidRPr="00FE02D7">
        <w:rPr>
          <w:rFonts w:ascii="Times New Roman" w:hAnsi="Times New Roman"/>
          <w:vertAlign w:val="superscript"/>
        </w:rPr>
        <w:t>th</w:t>
      </w:r>
      <w:r w:rsidRPr="00FE02D7">
        <w:rPr>
          <w:rFonts w:ascii="Times New Roman" w:hAnsi="Times New Roman"/>
        </w:rPr>
        <w:t xml:space="preserve"> July 2021.</w:t>
      </w:r>
    </w:p>
    <w:p w14:paraId="224362D3" w14:textId="0B4833D6" w:rsidR="008A3719" w:rsidRPr="00FE02D7" w:rsidRDefault="008A3719" w:rsidP="007D2A00">
      <w:pPr>
        <w:spacing w:after="120"/>
        <w:jc w:val="both"/>
        <w:rPr>
          <w:rFonts w:ascii="Times New Roman" w:hAnsi="Times New Roman"/>
          <w:i/>
          <w:iCs/>
        </w:rPr>
      </w:pPr>
      <w:r w:rsidRPr="00FE02D7">
        <w:rPr>
          <w:rFonts w:ascii="Times New Roman" w:hAnsi="Times New Roman"/>
          <w:i/>
          <w:iCs/>
        </w:rPr>
        <w:t>The outcome of the CJEU case</w:t>
      </w:r>
    </w:p>
    <w:p w14:paraId="23816293" w14:textId="083A2027" w:rsidR="00883107" w:rsidRPr="00FE02D7" w:rsidRDefault="00495F64" w:rsidP="007D2A00">
      <w:pPr>
        <w:pStyle w:val="ListParagraph"/>
        <w:numPr>
          <w:ilvl w:val="0"/>
          <w:numId w:val="1"/>
        </w:numPr>
        <w:spacing w:after="120"/>
        <w:contextualSpacing w:val="0"/>
        <w:jc w:val="both"/>
        <w:rPr>
          <w:rFonts w:ascii="Times New Roman" w:hAnsi="Times New Roman"/>
        </w:rPr>
      </w:pPr>
      <w:r w:rsidRPr="00FE02D7">
        <w:rPr>
          <w:rFonts w:ascii="Times New Roman" w:hAnsi="Times New Roman"/>
        </w:rPr>
        <w:t xml:space="preserve">The questions referred to the CJEU were essentially – are the regulations discriminatory </w:t>
      </w:r>
      <w:r w:rsidR="004B6A7D">
        <w:rPr>
          <w:rFonts w:ascii="Times New Roman" w:hAnsi="Times New Roman"/>
        </w:rPr>
        <w:t xml:space="preserve">on the ground of nationality, </w:t>
      </w:r>
      <w:r w:rsidRPr="00FE02D7">
        <w:rPr>
          <w:rFonts w:ascii="Times New Roman" w:hAnsi="Times New Roman"/>
        </w:rPr>
        <w:t xml:space="preserve">contrary to Article 18 TFEU? And, if so, are they indirectly discriminatory, and are they justified? Somewhat curiously, both the Advocate General and the CJEU sidestepped discussion of Article 18 TFEU, applying instead the secondary law provision of Article 24 of Directive 2004/38, even though the claimants’ </w:t>
      </w:r>
      <w:r w:rsidR="00883107" w:rsidRPr="00FE02D7">
        <w:rPr>
          <w:rFonts w:ascii="Times New Roman" w:hAnsi="Times New Roman"/>
        </w:rPr>
        <w:t>“right of residence cannot however be regarded in any way as being granted ‘on the basis of’ Directive 2004/38 within the meaning of Article 24(1) of that directiv</w:t>
      </w:r>
      <w:r w:rsidR="0076291E">
        <w:rPr>
          <w:rFonts w:ascii="Times New Roman" w:hAnsi="Times New Roman"/>
        </w:rPr>
        <w:t>e</w:t>
      </w:r>
      <w:r w:rsidR="00883107" w:rsidRPr="00FE02D7">
        <w:rPr>
          <w:rFonts w:ascii="Times New Roman" w:hAnsi="Times New Roman"/>
        </w:rPr>
        <w:t>”</w:t>
      </w:r>
      <w:r w:rsidR="0076291E">
        <w:rPr>
          <w:rFonts w:ascii="Times New Roman" w:hAnsi="Times New Roman"/>
        </w:rPr>
        <w:t xml:space="preserve"> [83].</w:t>
      </w:r>
    </w:p>
    <w:p w14:paraId="67D9ED48" w14:textId="4B0EB9D4" w:rsidR="00883107" w:rsidRPr="00FE02D7" w:rsidRDefault="00883107" w:rsidP="007D2A00">
      <w:pPr>
        <w:pStyle w:val="ListParagraph"/>
        <w:numPr>
          <w:ilvl w:val="0"/>
          <w:numId w:val="1"/>
        </w:numPr>
        <w:spacing w:after="120"/>
        <w:contextualSpacing w:val="0"/>
        <w:jc w:val="both"/>
        <w:rPr>
          <w:rFonts w:ascii="Times New Roman" w:hAnsi="Times New Roman"/>
        </w:rPr>
      </w:pPr>
      <w:r w:rsidRPr="00FE02D7">
        <w:rPr>
          <w:rFonts w:ascii="Times New Roman" w:hAnsi="Times New Roman"/>
        </w:rPr>
        <w:t xml:space="preserve">Nevertheless, by ploughing on and applying the Directive, the Court found that a claimant would have to meet the conditions of the Directive – so </w:t>
      </w:r>
      <w:r w:rsidR="0076291E">
        <w:rPr>
          <w:rFonts w:ascii="Times New Roman" w:hAnsi="Times New Roman"/>
        </w:rPr>
        <w:t xml:space="preserve">would have to show </w:t>
      </w:r>
      <w:r w:rsidRPr="00FE02D7">
        <w:rPr>
          <w:rFonts w:ascii="Times New Roman" w:hAnsi="Times New Roman"/>
        </w:rPr>
        <w:t xml:space="preserve">another right to reside as well as pre-settled status. However, the Court relied on caselaw involving claimants who had no right to reside at all, and ignored the arguments raised about the </w:t>
      </w:r>
      <w:r w:rsidRPr="00FE02D7">
        <w:rPr>
          <w:rFonts w:ascii="Times New Roman" w:hAnsi="Times New Roman"/>
          <w:i/>
          <w:iCs/>
        </w:rPr>
        <w:t xml:space="preserve">Trojani </w:t>
      </w:r>
      <w:r w:rsidRPr="00FE02D7">
        <w:rPr>
          <w:rFonts w:ascii="Times New Roman" w:hAnsi="Times New Roman"/>
        </w:rPr>
        <w:t>case.</w:t>
      </w:r>
    </w:p>
    <w:p w14:paraId="5F4D5742" w14:textId="7136ED40" w:rsidR="007C4CE8" w:rsidRPr="00FE02D7" w:rsidRDefault="00883107" w:rsidP="0011401F">
      <w:pPr>
        <w:pStyle w:val="ListParagraph"/>
        <w:numPr>
          <w:ilvl w:val="0"/>
          <w:numId w:val="1"/>
        </w:numPr>
        <w:spacing w:after="240"/>
        <w:ind w:left="357" w:hanging="357"/>
        <w:contextualSpacing w:val="0"/>
        <w:jc w:val="both"/>
        <w:rPr>
          <w:rFonts w:ascii="Times New Roman" w:hAnsi="Times New Roman"/>
        </w:rPr>
      </w:pPr>
      <w:r w:rsidRPr="00FE02D7">
        <w:rPr>
          <w:rFonts w:ascii="Times New Roman" w:hAnsi="Times New Roman"/>
        </w:rPr>
        <w:t xml:space="preserve">As such, the Court found that the claimant, CG, was not entitled to protection from discrimination on the ground of nationality. </w:t>
      </w:r>
      <w:r w:rsidR="007C4CE8" w:rsidRPr="00FE02D7">
        <w:rPr>
          <w:rFonts w:ascii="Times New Roman" w:hAnsi="Times New Roman"/>
        </w:rPr>
        <w:t xml:space="preserve">However, the Court outlined a safety net offered by EU law. People </w:t>
      </w:r>
      <w:r w:rsidR="007C4CE8" w:rsidRPr="00FE02D7">
        <w:rPr>
          <w:rFonts w:ascii="Times New Roman" w:hAnsi="Times New Roman"/>
        </w:rPr>
        <w:lastRenderedPageBreak/>
        <w:t xml:space="preserve">in the claimant’s situation fall within the scope of EU law (Article 21 TFEU, on the right of Union citizens to move and reside within the Union), so are entitled to protection of the Charter of Fundamental Rights of the EU. States </w:t>
      </w:r>
      <w:r w:rsidR="0076291E">
        <w:rPr>
          <w:rFonts w:ascii="Times New Roman" w:hAnsi="Times New Roman"/>
        </w:rPr>
        <w:t>a</w:t>
      </w:r>
      <w:r w:rsidR="007C4CE8" w:rsidRPr="00FE02D7">
        <w:rPr>
          <w:rFonts w:ascii="Times New Roman" w:hAnsi="Times New Roman"/>
        </w:rPr>
        <w:t xml:space="preserve">re obliged to ensure that EU nationals </w:t>
      </w:r>
      <w:r w:rsidR="0076291E">
        <w:rPr>
          <w:rFonts w:ascii="Times New Roman" w:hAnsi="Times New Roman"/>
        </w:rPr>
        <w:t>“</w:t>
      </w:r>
      <w:r w:rsidR="007C4CE8" w:rsidRPr="00FE02D7">
        <w:rPr>
          <w:rFonts w:ascii="Times New Roman" w:hAnsi="Times New Roman"/>
        </w:rPr>
        <w:t>in a vulnerable situation</w:t>
      </w:r>
      <w:r w:rsidR="0076291E">
        <w:rPr>
          <w:rFonts w:ascii="Times New Roman" w:hAnsi="Times New Roman"/>
        </w:rPr>
        <w:t>” [89]</w:t>
      </w:r>
      <w:r w:rsidR="007C4CE8" w:rsidRPr="00FE02D7">
        <w:rPr>
          <w:rFonts w:ascii="Times New Roman" w:hAnsi="Times New Roman"/>
        </w:rPr>
        <w:t xml:space="preserve"> could live in </w:t>
      </w:r>
      <w:r w:rsidR="007C4CE8" w:rsidRPr="00730388">
        <w:rPr>
          <w:rFonts w:ascii="Times New Roman" w:hAnsi="Times New Roman"/>
          <w:b/>
          <w:bCs/>
        </w:rPr>
        <w:t>dignity,</w:t>
      </w:r>
      <w:r w:rsidR="007C4CE8" w:rsidRPr="00FE02D7">
        <w:rPr>
          <w:rFonts w:ascii="Times New Roman" w:hAnsi="Times New Roman"/>
        </w:rPr>
        <w:t xml:space="preserve"> as required by Article 1 of the CFR. Furthermore, in line with the duty to respect </w:t>
      </w:r>
      <w:r w:rsidR="007C4CE8" w:rsidRPr="00730388">
        <w:rPr>
          <w:rFonts w:ascii="Times New Roman" w:hAnsi="Times New Roman"/>
          <w:b/>
          <w:bCs/>
        </w:rPr>
        <w:t>private and family life</w:t>
      </w:r>
      <w:r w:rsidR="007C4CE8" w:rsidRPr="00FE02D7">
        <w:rPr>
          <w:rFonts w:ascii="Times New Roman" w:hAnsi="Times New Roman"/>
        </w:rPr>
        <w:t xml:space="preserve"> (Art 7 CFR), and to consider </w:t>
      </w:r>
      <w:r w:rsidR="007C4CE8" w:rsidRPr="00730388">
        <w:rPr>
          <w:rFonts w:ascii="Times New Roman" w:hAnsi="Times New Roman"/>
          <w:b/>
          <w:bCs/>
        </w:rPr>
        <w:t>the best interests of the child</w:t>
      </w:r>
      <w:r w:rsidR="007C4CE8" w:rsidRPr="00FE02D7">
        <w:rPr>
          <w:rFonts w:ascii="Times New Roman" w:hAnsi="Times New Roman"/>
        </w:rPr>
        <w:t xml:space="preserve"> (Art 24 CFR), States are also </w:t>
      </w:r>
      <w:r w:rsidR="0076291E">
        <w:rPr>
          <w:rFonts w:ascii="Times New Roman" w:hAnsi="Times New Roman"/>
        </w:rPr>
        <w:t>“</w:t>
      </w:r>
      <w:r w:rsidR="007C4CE8" w:rsidRPr="00FE02D7">
        <w:rPr>
          <w:rFonts w:ascii="Times New Roman" w:hAnsi="Times New Roman"/>
        </w:rPr>
        <w:t>required to permit children, who are particularly vulnerable, to stay in dignified conditions with the parent or parents responsible for them</w:t>
      </w:r>
      <w:r w:rsidR="0076291E">
        <w:rPr>
          <w:rFonts w:ascii="Times New Roman" w:hAnsi="Times New Roman"/>
        </w:rPr>
        <w:t>” [91]</w:t>
      </w:r>
      <w:r w:rsidR="007C4CE8" w:rsidRPr="00FE02D7">
        <w:rPr>
          <w:rFonts w:ascii="Times New Roman" w:hAnsi="Times New Roman"/>
        </w:rPr>
        <w:t>.</w:t>
      </w:r>
    </w:p>
    <w:p w14:paraId="526C1DFD" w14:textId="77CE87EA" w:rsidR="008A3719" w:rsidRPr="00FE02D7" w:rsidRDefault="008A3719" w:rsidP="007D2A00">
      <w:pPr>
        <w:spacing w:after="120"/>
        <w:jc w:val="both"/>
        <w:rPr>
          <w:rFonts w:ascii="Times New Roman" w:hAnsi="Times New Roman"/>
          <w:i/>
          <w:iCs/>
        </w:rPr>
      </w:pPr>
      <w:r w:rsidRPr="00FE02D7">
        <w:rPr>
          <w:rFonts w:ascii="Times New Roman" w:hAnsi="Times New Roman"/>
          <w:i/>
          <w:iCs/>
        </w:rPr>
        <w:t>What happens next with CG?</w:t>
      </w:r>
    </w:p>
    <w:p w14:paraId="49F792AB" w14:textId="46864596" w:rsidR="008A3719" w:rsidRPr="00FE02D7" w:rsidRDefault="007C4CE8" w:rsidP="0011401F">
      <w:pPr>
        <w:pStyle w:val="ListParagraph"/>
        <w:numPr>
          <w:ilvl w:val="0"/>
          <w:numId w:val="1"/>
        </w:numPr>
        <w:spacing w:after="240"/>
        <w:ind w:left="357" w:hanging="357"/>
        <w:contextualSpacing w:val="0"/>
        <w:jc w:val="both"/>
        <w:rPr>
          <w:rFonts w:ascii="Times New Roman" w:hAnsi="Times New Roman"/>
        </w:rPr>
      </w:pPr>
      <w:r w:rsidRPr="00FE02D7">
        <w:rPr>
          <w:rFonts w:ascii="Times New Roman" w:hAnsi="Times New Roman"/>
        </w:rPr>
        <w:t>This case will be sent back to the first</w:t>
      </w:r>
      <w:r w:rsidR="0076291E">
        <w:rPr>
          <w:rFonts w:ascii="Times New Roman" w:hAnsi="Times New Roman"/>
        </w:rPr>
        <w:t>-</w:t>
      </w:r>
      <w:r w:rsidRPr="00FE02D7">
        <w:rPr>
          <w:rFonts w:ascii="Times New Roman" w:hAnsi="Times New Roman"/>
        </w:rPr>
        <w:t>tier tribunal, for the judge to apply the CJEU judgment</w:t>
      </w:r>
      <w:r w:rsidR="00730388">
        <w:rPr>
          <w:rFonts w:ascii="Times New Roman" w:hAnsi="Times New Roman"/>
        </w:rPr>
        <w:t>, and to</w:t>
      </w:r>
      <w:r w:rsidRPr="00FE02D7">
        <w:rPr>
          <w:rFonts w:ascii="Times New Roman" w:hAnsi="Times New Roman"/>
        </w:rPr>
        <w:t xml:space="preserve"> ascertain whether the claimant’s fundamental rights are placed at risk by the refusal of Universal Credit. As far as this specific case is concerned, </w:t>
      </w:r>
      <w:r w:rsidRPr="00730388">
        <w:rPr>
          <w:rFonts w:ascii="Times New Roman" w:hAnsi="Times New Roman"/>
          <w:b/>
          <w:bCs/>
        </w:rPr>
        <w:t xml:space="preserve">the CJEU gave </w:t>
      </w:r>
      <w:r w:rsidR="0076291E" w:rsidRPr="00730388">
        <w:rPr>
          <w:rFonts w:ascii="Times New Roman" w:hAnsi="Times New Roman"/>
          <w:b/>
          <w:bCs/>
        </w:rPr>
        <w:t xml:space="preserve">a </w:t>
      </w:r>
      <w:proofErr w:type="gramStart"/>
      <w:r w:rsidRPr="00730388">
        <w:rPr>
          <w:rFonts w:ascii="Times New Roman" w:hAnsi="Times New Roman"/>
          <w:b/>
          <w:bCs/>
        </w:rPr>
        <w:t>fairly strong</w:t>
      </w:r>
      <w:proofErr w:type="gramEnd"/>
      <w:r w:rsidRPr="00730388">
        <w:rPr>
          <w:rFonts w:ascii="Times New Roman" w:hAnsi="Times New Roman"/>
          <w:b/>
          <w:bCs/>
        </w:rPr>
        <w:t xml:space="preserve"> steer that there was a significant possibility that the claimant’s rights were at risk</w:t>
      </w:r>
      <w:r w:rsidR="0076291E">
        <w:rPr>
          <w:rFonts w:ascii="Times New Roman" w:hAnsi="Times New Roman"/>
        </w:rPr>
        <w:t xml:space="preserve"> [42-44; 92]</w:t>
      </w:r>
      <w:r w:rsidRPr="00FE02D7">
        <w:rPr>
          <w:rFonts w:ascii="Times New Roman" w:hAnsi="Times New Roman"/>
        </w:rPr>
        <w:t>.</w:t>
      </w:r>
    </w:p>
    <w:p w14:paraId="775B79E1" w14:textId="5F887085" w:rsidR="008A3719" w:rsidRPr="00FE02D7" w:rsidRDefault="008A3719" w:rsidP="007D2A00">
      <w:pPr>
        <w:spacing w:after="120"/>
        <w:jc w:val="both"/>
        <w:rPr>
          <w:rFonts w:ascii="Times New Roman" w:hAnsi="Times New Roman"/>
          <w:i/>
          <w:iCs/>
        </w:rPr>
      </w:pPr>
      <w:r w:rsidRPr="00FE02D7">
        <w:rPr>
          <w:rFonts w:ascii="Times New Roman" w:hAnsi="Times New Roman"/>
          <w:i/>
          <w:iCs/>
        </w:rPr>
        <w:t xml:space="preserve">What happens next with </w:t>
      </w:r>
      <w:proofErr w:type="spellStart"/>
      <w:r w:rsidRPr="00FE02D7">
        <w:rPr>
          <w:rFonts w:ascii="Times New Roman" w:hAnsi="Times New Roman"/>
          <w:i/>
          <w:iCs/>
        </w:rPr>
        <w:t>Fratila</w:t>
      </w:r>
      <w:proofErr w:type="spellEnd"/>
      <w:r w:rsidRPr="00FE02D7">
        <w:rPr>
          <w:rFonts w:ascii="Times New Roman" w:hAnsi="Times New Roman"/>
          <w:i/>
          <w:iCs/>
        </w:rPr>
        <w:t>?</w:t>
      </w:r>
    </w:p>
    <w:p w14:paraId="3D21F547" w14:textId="7A5341FB" w:rsidR="002627EB" w:rsidRPr="00FE02D7" w:rsidRDefault="007C4CE8" w:rsidP="007D2A00">
      <w:pPr>
        <w:pStyle w:val="ListParagraph"/>
        <w:numPr>
          <w:ilvl w:val="0"/>
          <w:numId w:val="1"/>
        </w:numPr>
        <w:spacing w:after="120"/>
        <w:contextualSpacing w:val="0"/>
        <w:jc w:val="both"/>
        <w:rPr>
          <w:rFonts w:ascii="Times New Roman" w:hAnsi="Times New Roman"/>
        </w:rPr>
      </w:pPr>
      <w:r w:rsidRPr="00FE02D7">
        <w:rPr>
          <w:rFonts w:ascii="Times New Roman" w:hAnsi="Times New Roman"/>
        </w:rPr>
        <w:t xml:space="preserve">There are now </w:t>
      </w:r>
      <w:proofErr w:type="gramStart"/>
      <w:r w:rsidRPr="00FE02D7">
        <w:rPr>
          <w:rFonts w:ascii="Times New Roman" w:hAnsi="Times New Roman"/>
        </w:rPr>
        <w:t>a number of</w:t>
      </w:r>
      <w:proofErr w:type="gramEnd"/>
      <w:r w:rsidRPr="00FE02D7">
        <w:rPr>
          <w:rFonts w:ascii="Times New Roman" w:hAnsi="Times New Roman"/>
        </w:rPr>
        <w:t xml:space="preserve"> possible outcomes</w:t>
      </w:r>
      <w:r w:rsidR="0076291E">
        <w:rPr>
          <w:rFonts w:ascii="Times New Roman" w:hAnsi="Times New Roman"/>
        </w:rPr>
        <w:t xml:space="preserve">; </w:t>
      </w:r>
      <w:r w:rsidR="002627EB" w:rsidRPr="00FE02D7">
        <w:rPr>
          <w:rFonts w:ascii="Times New Roman" w:hAnsi="Times New Roman"/>
        </w:rPr>
        <w:t xml:space="preserve">the one now seemingly impossible outcome being that the Court of Appeal’s ruling would be upheld. The claimants in </w:t>
      </w:r>
      <w:proofErr w:type="spellStart"/>
      <w:r w:rsidR="002627EB" w:rsidRPr="00FE02D7">
        <w:rPr>
          <w:rFonts w:ascii="Times New Roman" w:hAnsi="Times New Roman"/>
          <w:i/>
          <w:iCs/>
        </w:rPr>
        <w:t>Fratila</w:t>
      </w:r>
      <w:proofErr w:type="spellEnd"/>
      <w:r w:rsidR="002627EB" w:rsidRPr="00FE02D7">
        <w:rPr>
          <w:rFonts w:ascii="Times New Roman" w:hAnsi="Times New Roman"/>
        </w:rPr>
        <w:t>, following the logic of the CG case, would not be entitled to protection from nationality discrimination, upon which their case depended, and on which the Court of Appeal judgment turned.</w:t>
      </w:r>
    </w:p>
    <w:p w14:paraId="21C44624" w14:textId="67B8CF4B" w:rsidR="008A3719" w:rsidRPr="00FE02D7" w:rsidRDefault="002627EB" w:rsidP="007D2A00">
      <w:pPr>
        <w:pStyle w:val="ListParagraph"/>
        <w:numPr>
          <w:ilvl w:val="0"/>
          <w:numId w:val="1"/>
        </w:numPr>
        <w:spacing w:after="120"/>
        <w:contextualSpacing w:val="0"/>
        <w:jc w:val="both"/>
        <w:rPr>
          <w:rFonts w:ascii="Times New Roman" w:hAnsi="Times New Roman"/>
        </w:rPr>
      </w:pPr>
      <w:r w:rsidRPr="00FE02D7">
        <w:rPr>
          <w:rFonts w:ascii="Times New Roman" w:hAnsi="Times New Roman"/>
        </w:rPr>
        <w:t xml:space="preserve">Instead, it is possible that the Supreme Court will decide – possibly even without a hearing – that as a result of </w:t>
      </w:r>
      <w:r w:rsidRPr="00FE02D7">
        <w:rPr>
          <w:rFonts w:ascii="Times New Roman" w:hAnsi="Times New Roman"/>
        </w:rPr>
        <w:softHyphen/>
      </w:r>
      <w:r w:rsidRPr="00FE02D7">
        <w:rPr>
          <w:rFonts w:ascii="Times New Roman" w:hAnsi="Times New Roman"/>
          <w:i/>
          <w:iCs/>
        </w:rPr>
        <w:t>CG</w:t>
      </w:r>
      <w:r w:rsidRPr="00FE02D7">
        <w:rPr>
          <w:rFonts w:ascii="Times New Roman" w:hAnsi="Times New Roman"/>
        </w:rPr>
        <w:t xml:space="preserve">, the claimants’ case fails, and regulations remain intact. The claimants may seek to mount an argument based upon their fundamental rights, under the CFR. The court </w:t>
      </w:r>
      <w:proofErr w:type="gramStart"/>
      <w:r w:rsidRPr="00FE02D7">
        <w:rPr>
          <w:rFonts w:ascii="Times New Roman" w:hAnsi="Times New Roman"/>
        </w:rPr>
        <w:t>may  dismiss</w:t>
      </w:r>
      <w:proofErr w:type="gramEnd"/>
      <w:r w:rsidRPr="00FE02D7">
        <w:rPr>
          <w:rFonts w:ascii="Times New Roman" w:hAnsi="Times New Roman"/>
        </w:rPr>
        <w:t xml:space="preserve"> such submissions, as not </w:t>
      </w:r>
      <w:r w:rsidR="000B663E">
        <w:rPr>
          <w:rFonts w:ascii="Times New Roman" w:hAnsi="Times New Roman"/>
        </w:rPr>
        <w:t xml:space="preserve">having </w:t>
      </w:r>
      <w:r w:rsidRPr="00FE02D7">
        <w:rPr>
          <w:rFonts w:ascii="Times New Roman" w:hAnsi="Times New Roman"/>
        </w:rPr>
        <w:t xml:space="preserve">been previously raised. This is a difficulty posed when the CJEU chooses to answer different questions to the ones </w:t>
      </w:r>
      <w:r w:rsidR="0076291E">
        <w:rPr>
          <w:rFonts w:ascii="Times New Roman" w:hAnsi="Times New Roman"/>
        </w:rPr>
        <w:t xml:space="preserve">referred by </w:t>
      </w:r>
      <w:r w:rsidRPr="00FE02D7">
        <w:rPr>
          <w:rFonts w:ascii="Times New Roman" w:hAnsi="Times New Roman"/>
        </w:rPr>
        <w:t>a national court.</w:t>
      </w:r>
    </w:p>
    <w:p w14:paraId="66F50C9A" w14:textId="51B0FD4E" w:rsidR="005A2F67" w:rsidRPr="00FE02D7" w:rsidRDefault="002627EB" w:rsidP="0011401F">
      <w:pPr>
        <w:pStyle w:val="ListParagraph"/>
        <w:numPr>
          <w:ilvl w:val="0"/>
          <w:numId w:val="1"/>
        </w:numPr>
        <w:spacing w:after="240"/>
        <w:ind w:left="357" w:hanging="357"/>
        <w:contextualSpacing w:val="0"/>
        <w:jc w:val="both"/>
        <w:rPr>
          <w:rFonts w:ascii="Times New Roman" w:hAnsi="Times New Roman"/>
        </w:rPr>
      </w:pPr>
      <w:r w:rsidRPr="00FE02D7">
        <w:rPr>
          <w:rFonts w:ascii="Times New Roman" w:hAnsi="Times New Roman"/>
        </w:rPr>
        <w:t>It is therefore possible that</w:t>
      </w:r>
      <w:r w:rsidR="0076291E">
        <w:rPr>
          <w:rFonts w:ascii="Times New Roman" w:hAnsi="Times New Roman"/>
        </w:rPr>
        <w:t xml:space="preserve"> </w:t>
      </w:r>
      <w:r w:rsidRPr="00FE02D7">
        <w:rPr>
          <w:rFonts w:ascii="Times New Roman" w:hAnsi="Times New Roman"/>
        </w:rPr>
        <w:t xml:space="preserve">thrashing out the meaning of the fundamental rights aspects of </w:t>
      </w:r>
      <w:r w:rsidRPr="0076291E">
        <w:rPr>
          <w:rFonts w:ascii="Times New Roman" w:hAnsi="Times New Roman"/>
          <w:i/>
          <w:iCs/>
        </w:rPr>
        <w:t>CG</w:t>
      </w:r>
      <w:r w:rsidRPr="00FE02D7">
        <w:rPr>
          <w:rFonts w:ascii="Times New Roman" w:hAnsi="Times New Roman"/>
        </w:rPr>
        <w:t xml:space="preserve"> will fall to another case –</w:t>
      </w:r>
      <w:r w:rsidR="0076291E">
        <w:rPr>
          <w:rFonts w:ascii="Times New Roman" w:hAnsi="Times New Roman"/>
        </w:rPr>
        <w:t xml:space="preserve"> argued from the start, and then</w:t>
      </w:r>
      <w:r w:rsidRPr="00FE02D7">
        <w:rPr>
          <w:rFonts w:ascii="Times New Roman" w:hAnsi="Times New Roman"/>
        </w:rPr>
        <w:t xml:space="preserve"> appealed up and through the </w:t>
      </w:r>
      <w:r w:rsidR="0076291E">
        <w:rPr>
          <w:rFonts w:ascii="Times New Roman" w:hAnsi="Times New Roman"/>
        </w:rPr>
        <w:t xml:space="preserve">court </w:t>
      </w:r>
      <w:r w:rsidRPr="00FE02D7">
        <w:rPr>
          <w:rFonts w:ascii="Times New Roman" w:hAnsi="Times New Roman"/>
        </w:rPr>
        <w:t>ranks.</w:t>
      </w:r>
    </w:p>
    <w:p w14:paraId="10826852" w14:textId="71DF122F" w:rsidR="008A3719" w:rsidRPr="00FE02D7" w:rsidRDefault="008A3719" w:rsidP="007D2A00">
      <w:pPr>
        <w:spacing w:after="120"/>
        <w:jc w:val="both"/>
        <w:rPr>
          <w:rFonts w:ascii="Times New Roman" w:hAnsi="Times New Roman"/>
          <w:i/>
          <w:iCs/>
        </w:rPr>
      </w:pPr>
      <w:r w:rsidRPr="00FE02D7">
        <w:rPr>
          <w:rFonts w:ascii="Times New Roman" w:hAnsi="Times New Roman"/>
          <w:i/>
          <w:iCs/>
        </w:rPr>
        <w:t xml:space="preserve">What happens next with other </w:t>
      </w:r>
      <w:r w:rsidR="00A5057C" w:rsidRPr="00FE02D7">
        <w:rPr>
          <w:rFonts w:ascii="Times New Roman" w:hAnsi="Times New Roman"/>
          <w:i/>
          <w:iCs/>
        </w:rPr>
        <w:t xml:space="preserve">(pre-2021) </w:t>
      </w:r>
      <w:r w:rsidRPr="00FE02D7">
        <w:rPr>
          <w:rFonts w:ascii="Times New Roman" w:hAnsi="Times New Roman"/>
          <w:i/>
          <w:iCs/>
        </w:rPr>
        <w:t>cases?</w:t>
      </w:r>
    </w:p>
    <w:p w14:paraId="10ADC389" w14:textId="05D30C4F" w:rsidR="00A5057C" w:rsidRPr="00FE02D7" w:rsidRDefault="00A5057C" w:rsidP="007D2A00">
      <w:pPr>
        <w:pStyle w:val="ListParagraph"/>
        <w:numPr>
          <w:ilvl w:val="0"/>
          <w:numId w:val="1"/>
        </w:numPr>
        <w:spacing w:after="120"/>
        <w:contextualSpacing w:val="0"/>
        <w:jc w:val="both"/>
        <w:rPr>
          <w:rFonts w:ascii="Times New Roman" w:hAnsi="Times New Roman"/>
        </w:rPr>
      </w:pPr>
      <w:r w:rsidRPr="00FE02D7">
        <w:rPr>
          <w:rFonts w:ascii="Times New Roman" w:hAnsi="Times New Roman"/>
        </w:rPr>
        <w:t xml:space="preserve">How the fundamental rights </w:t>
      </w:r>
      <w:r w:rsidR="0076291E">
        <w:rPr>
          <w:rFonts w:ascii="Times New Roman" w:hAnsi="Times New Roman"/>
        </w:rPr>
        <w:t>fall-back</w:t>
      </w:r>
      <w:r w:rsidRPr="00FE02D7">
        <w:rPr>
          <w:rFonts w:ascii="Times New Roman" w:hAnsi="Times New Roman"/>
        </w:rPr>
        <w:t xml:space="preserve"> will play out in other cases turns on two key questions. The first is: </w:t>
      </w:r>
      <w:r w:rsidRPr="00FE02D7">
        <w:rPr>
          <w:rFonts w:ascii="Times New Roman" w:hAnsi="Times New Roman"/>
          <w:i/>
          <w:iCs/>
        </w:rPr>
        <w:t>who</w:t>
      </w:r>
      <w:r w:rsidRPr="00FE02D7">
        <w:rPr>
          <w:rFonts w:ascii="Times New Roman" w:hAnsi="Times New Roman"/>
        </w:rPr>
        <w:t xml:space="preserve"> should be assessing </w:t>
      </w:r>
      <w:proofErr w:type="gramStart"/>
      <w:r w:rsidRPr="00FE02D7">
        <w:rPr>
          <w:rFonts w:ascii="Times New Roman" w:hAnsi="Times New Roman"/>
        </w:rPr>
        <w:t>whether or not</w:t>
      </w:r>
      <w:proofErr w:type="gramEnd"/>
      <w:r w:rsidRPr="00FE02D7">
        <w:rPr>
          <w:rFonts w:ascii="Times New Roman" w:hAnsi="Times New Roman"/>
        </w:rPr>
        <w:t xml:space="preserve"> a claimant’s fundamental rights are at risk? It is possible that the DWP </w:t>
      </w:r>
      <w:r w:rsidR="0076291E">
        <w:rPr>
          <w:rFonts w:ascii="Times New Roman" w:hAnsi="Times New Roman"/>
        </w:rPr>
        <w:t xml:space="preserve">will reject UC claims then </w:t>
      </w:r>
      <w:r w:rsidRPr="00FE02D7">
        <w:rPr>
          <w:rFonts w:ascii="Times New Roman" w:hAnsi="Times New Roman"/>
        </w:rPr>
        <w:t xml:space="preserve">signpost claimants onto local authorities, suggesting that it is up to LAs to decide whose fundamental rights are at risk. Claimants </w:t>
      </w:r>
      <w:r w:rsidR="0076291E">
        <w:rPr>
          <w:rFonts w:ascii="Times New Roman" w:hAnsi="Times New Roman"/>
        </w:rPr>
        <w:t xml:space="preserve">who </w:t>
      </w:r>
      <w:r w:rsidRPr="00FE02D7">
        <w:rPr>
          <w:rFonts w:ascii="Times New Roman" w:hAnsi="Times New Roman"/>
        </w:rPr>
        <w:t>then d</w:t>
      </w:r>
      <w:r w:rsidR="0076291E">
        <w:rPr>
          <w:rFonts w:ascii="Times New Roman" w:hAnsi="Times New Roman"/>
        </w:rPr>
        <w:t>id</w:t>
      </w:r>
      <w:r w:rsidRPr="00FE02D7">
        <w:rPr>
          <w:rFonts w:ascii="Times New Roman" w:hAnsi="Times New Roman"/>
        </w:rPr>
        <w:t xml:space="preserve"> not receive</w:t>
      </w:r>
      <w:r w:rsidR="0076291E">
        <w:rPr>
          <w:rFonts w:ascii="Times New Roman" w:hAnsi="Times New Roman"/>
        </w:rPr>
        <w:t xml:space="preserve"> </w:t>
      </w:r>
      <w:r w:rsidRPr="00FE02D7">
        <w:rPr>
          <w:rFonts w:ascii="Times New Roman" w:hAnsi="Times New Roman"/>
        </w:rPr>
        <w:t xml:space="preserve">adequate support would be left with the option of seeking judicial review </w:t>
      </w:r>
      <w:r w:rsidR="0076291E">
        <w:rPr>
          <w:rFonts w:ascii="Times New Roman" w:hAnsi="Times New Roman"/>
        </w:rPr>
        <w:t xml:space="preserve">of </w:t>
      </w:r>
      <w:r w:rsidRPr="00FE02D7">
        <w:rPr>
          <w:rFonts w:ascii="Times New Roman" w:hAnsi="Times New Roman"/>
        </w:rPr>
        <w:t>an LA decision</w:t>
      </w:r>
      <w:r w:rsidR="00527FE1">
        <w:rPr>
          <w:rFonts w:ascii="Times New Roman" w:hAnsi="Times New Roman"/>
        </w:rPr>
        <w:t xml:space="preserve">, which is </w:t>
      </w:r>
      <w:r w:rsidRPr="00FE02D7">
        <w:rPr>
          <w:rFonts w:ascii="Times New Roman" w:hAnsi="Times New Roman"/>
        </w:rPr>
        <w:t>unpalatable because of the costs, difficulty, and low likelihood of success.</w:t>
      </w:r>
    </w:p>
    <w:p w14:paraId="417861C5" w14:textId="184B3A6F" w:rsidR="00A5057C" w:rsidRPr="00FE02D7" w:rsidRDefault="00A5057C" w:rsidP="007D2A00">
      <w:pPr>
        <w:pStyle w:val="ListParagraph"/>
        <w:numPr>
          <w:ilvl w:val="0"/>
          <w:numId w:val="1"/>
        </w:numPr>
        <w:spacing w:after="120"/>
        <w:contextualSpacing w:val="0"/>
        <w:jc w:val="both"/>
        <w:rPr>
          <w:rFonts w:ascii="Times New Roman" w:hAnsi="Times New Roman"/>
        </w:rPr>
      </w:pPr>
      <w:r w:rsidRPr="00FE02D7">
        <w:rPr>
          <w:rFonts w:ascii="Times New Roman" w:hAnsi="Times New Roman"/>
        </w:rPr>
        <w:t xml:space="preserve">If, however, </w:t>
      </w:r>
      <w:r w:rsidR="0076291E">
        <w:rPr>
          <w:rFonts w:ascii="Times New Roman" w:hAnsi="Times New Roman"/>
        </w:rPr>
        <w:t xml:space="preserve">the </w:t>
      </w:r>
      <w:r w:rsidRPr="00FE02D7">
        <w:rPr>
          <w:rFonts w:ascii="Times New Roman" w:hAnsi="Times New Roman"/>
        </w:rPr>
        <w:t xml:space="preserve">DWP </w:t>
      </w:r>
      <w:r w:rsidR="0076291E">
        <w:rPr>
          <w:rFonts w:ascii="Times New Roman" w:hAnsi="Times New Roman"/>
        </w:rPr>
        <w:t>must decide</w:t>
      </w:r>
      <w:r w:rsidRPr="00FE02D7">
        <w:rPr>
          <w:rFonts w:ascii="Times New Roman" w:hAnsi="Times New Roman"/>
        </w:rPr>
        <w:t xml:space="preserve"> whether </w:t>
      </w:r>
      <w:r w:rsidRPr="00FE02D7">
        <w:rPr>
          <w:rFonts w:ascii="Times New Roman" w:hAnsi="Times New Roman"/>
          <w:i/>
          <w:iCs/>
        </w:rPr>
        <w:t>refusal of UC</w:t>
      </w:r>
      <w:r w:rsidRPr="00FE02D7">
        <w:rPr>
          <w:rFonts w:ascii="Times New Roman" w:hAnsi="Times New Roman"/>
        </w:rPr>
        <w:t xml:space="preserve"> incurs risks of fundamental rights violations, </w:t>
      </w:r>
      <w:r w:rsidRPr="0076291E">
        <w:rPr>
          <w:rFonts w:ascii="Times New Roman" w:hAnsi="Times New Roman"/>
          <w:i/>
          <w:iCs/>
        </w:rPr>
        <w:t>before</w:t>
      </w:r>
      <w:r w:rsidRPr="00FE02D7">
        <w:rPr>
          <w:rFonts w:ascii="Times New Roman" w:hAnsi="Times New Roman"/>
        </w:rPr>
        <w:t xml:space="preserve"> then handing cases over to the LA, that decision becomes a potential avenue for appeal through the social security tribunal route, which is more accessible and affordable.</w:t>
      </w:r>
    </w:p>
    <w:p w14:paraId="677D2D51" w14:textId="19357F55" w:rsidR="00A5057C" w:rsidRPr="00FE02D7" w:rsidRDefault="00A5057C" w:rsidP="007D2A00">
      <w:pPr>
        <w:pStyle w:val="ListParagraph"/>
        <w:numPr>
          <w:ilvl w:val="0"/>
          <w:numId w:val="1"/>
        </w:numPr>
        <w:spacing w:after="120"/>
        <w:contextualSpacing w:val="0"/>
        <w:jc w:val="both"/>
        <w:rPr>
          <w:rFonts w:ascii="Times New Roman" w:hAnsi="Times New Roman"/>
          <w:i/>
          <w:iCs/>
        </w:rPr>
      </w:pPr>
      <w:r w:rsidRPr="00FE02D7">
        <w:rPr>
          <w:rFonts w:ascii="Times New Roman" w:hAnsi="Times New Roman"/>
        </w:rPr>
        <w:t xml:space="preserve">The wording of the CJEU judgment </w:t>
      </w:r>
      <w:r w:rsidR="0076291E">
        <w:rPr>
          <w:rFonts w:ascii="Times New Roman" w:hAnsi="Times New Roman"/>
        </w:rPr>
        <w:t xml:space="preserve">appears to </w:t>
      </w:r>
      <w:r w:rsidRPr="00FE02D7">
        <w:rPr>
          <w:rFonts w:ascii="Times New Roman" w:hAnsi="Times New Roman"/>
        </w:rPr>
        <w:t>support the latter interpretation</w:t>
      </w:r>
      <w:r w:rsidR="007D2A00">
        <w:rPr>
          <w:rFonts w:ascii="Times New Roman" w:hAnsi="Times New Roman"/>
        </w:rPr>
        <w:t>:</w:t>
      </w:r>
      <w:r w:rsidRPr="00FE02D7">
        <w:rPr>
          <w:rFonts w:ascii="Times New Roman" w:hAnsi="Times New Roman"/>
        </w:rPr>
        <w:t xml:space="preserve"> “the competent national authorities may refuse an application for social assistance, such as Universal Credit, </w:t>
      </w:r>
      <w:r w:rsidRPr="00FE02D7">
        <w:rPr>
          <w:rFonts w:ascii="Times New Roman" w:hAnsi="Times New Roman"/>
          <w:i/>
          <w:iCs/>
        </w:rPr>
        <w:t>only after</w:t>
      </w:r>
      <w:r w:rsidRPr="00FE02D7">
        <w:rPr>
          <w:rFonts w:ascii="Times New Roman" w:hAnsi="Times New Roman"/>
        </w:rPr>
        <w:t xml:space="preserve"> ascertaining that that refusal does not expose the citizen concerned and the children for which he or she is responsible to an actual and current risk of violation of their fundamental rights”. The fundamental rights assessment must </w:t>
      </w:r>
      <w:r w:rsidRPr="00FE02D7">
        <w:rPr>
          <w:rFonts w:ascii="Times New Roman" w:hAnsi="Times New Roman"/>
          <w:i/>
          <w:iCs/>
        </w:rPr>
        <w:t>pre-date</w:t>
      </w:r>
      <w:r w:rsidRPr="00FE02D7">
        <w:rPr>
          <w:rFonts w:ascii="Times New Roman" w:hAnsi="Times New Roman"/>
        </w:rPr>
        <w:t xml:space="preserve"> the refusal of Universal Credit.</w:t>
      </w:r>
    </w:p>
    <w:p w14:paraId="69F1E113" w14:textId="72A55C5A" w:rsidR="00A5057C" w:rsidRPr="00730388" w:rsidRDefault="00A5057C" w:rsidP="007D2A00">
      <w:pPr>
        <w:pStyle w:val="ListParagraph"/>
        <w:numPr>
          <w:ilvl w:val="0"/>
          <w:numId w:val="1"/>
        </w:numPr>
        <w:spacing w:after="120"/>
        <w:contextualSpacing w:val="0"/>
        <w:jc w:val="both"/>
        <w:rPr>
          <w:rFonts w:ascii="Times New Roman" w:hAnsi="Times New Roman"/>
          <w:b/>
          <w:bCs/>
        </w:rPr>
      </w:pPr>
      <w:r w:rsidRPr="00730388">
        <w:rPr>
          <w:rFonts w:ascii="Times New Roman" w:hAnsi="Times New Roman"/>
          <w:b/>
          <w:bCs/>
        </w:rPr>
        <w:t>This would give pre-settled EU nationals scope to appeal refusals of UC on fundamental rights grounds</w:t>
      </w:r>
      <w:r w:rsidR="005D2400">
        <w:rPr>
          <w:rFonts w:ascii="Times New Roman" w:hAnsi="Times New Roman"/>
        </w:rPr>
        <w:t xml:space="preserve">, though it is possible that this ground may only become manifest once the LA has made its decision on discretionary support, or even once a claimant has attempted to live on the discretionary support and experienced destitution/loss of dignity as a result. </w:t>
      </w:r>
      <w:r w:rsidR="005D2400" w:rsidRPr="00730388">
        <w:rPr>
          <w:rFonts w:ascii="Times New Roman" w:hAnsi="Times New Roman"/>
          <w:b/>
          <w:bCs/>
        </w:rPr>
        <w:t xml:space="preserve">Appeal procedures and deadlines </w:t>
      </w:r>
      <w:r w:rsidR="00730388">
        <w:rPr>
          <w:rFonts w:ascii="Times New Roman" w:hAnsi="Times New Roman"/>
          <w:b/>
          <w:bCs/>
        </w:rPr>
        <w:t>must</w:t>
      </w:r>
      <w:r w:rsidR="005D2400" w:rsidRPr="00730388">
        <w:rPr>
          <w:rFonts w:ascii="Times New Roman" w:hAnsi="Times New Roman"/>
          <w:b/>
          <w:bCs/>
        </w:rPr>
        <w:t xml:space="preserve"> reflect this possible time-lag/retrospective </w:t>
      </w:r>
      <w:r w:rsidR="00730388">
        <w:rPr>
          <w:rFonts w:ascii="Times New Roman" w:hAnsi="Times New Roman"/>
          <w:b/>
          <w:bCs/>
        </w:rPr>
        <w:t>dimension</w:t>
      </w:r>
      <w:r w:rsidR="005D2400" w:rsidRPr="00730388">
        <w:rPr>
          <w:rFonts w:ascii="Times New Roman" w:hAnsi="Times New Roman"/>
          <w:b/>
          <w:bCs/>
        </w:rPr>
        <w:t xml:space="preserve">. </w:t>
      </w:r>
    </w:p>
    <w:p w14:paraId="2FBE09C0" w14:textId="685B82FE" w:rsidR="00A20D67" w:rsidRPr="00FE02D7" w:rsidRDefault="00A5057C" w:rsidP="0011401F">
      <w:pPr>
        <w:pStyle w:val="ListParagraph"/>
        <w:numPr>
          <w:ilvl w:val="0"/>
          <w:numId w:val="1"/>
        </w:numPr>
        <w:spacing w:after="240"/>
        <w:ind w:left="357" w:hanging="357"/>
        <w:contextualSpacing w:val="0"/>
        <w:jc w:val="both"/>
        <w:rPr>
          <w:rFonts w:ascii="Times New Roman" w:hAnsi="Times New Roman"/>
        </w:rPr>
      </w:pPr>
      <w:r w:rsidRPr="00FE02D7">
        <w:rPr>
          <w:rFonts w:ascii="Times New Roman" w:hAnsi="Times New Roman"/>
        </w:rPr>
        <w:lastRenderedPageBreak/>
        <w:t xml:space="preserve">The second key question is: what will be required to show that someone will not be/is not/has not been able to live in dignity? </w:t>
      </w:r>
      <w:r w:rsidRPr="00730388">
        <w:rPr>
          <w:rFonts w:ascii="Times New Roman" w:hAnsi="Times New Roman"/>
          <w:b/>
          <w:bCs/>
        </w:rPr>
        <w:t>We need to know</w:t>
      </w:r>
      <w:r w:rsidRPr="00A5057C">
        <w:rPr>
          <w:rFonts w:ascii="Times New Roman" w:hAnsi="Times New Roman"/>
          <w:b/>
          <w:bCs/>
        </w:rPr>
        <w:t xml:space="preserve"> the threshold for establishing an actual or potential fundamental rights violation.</w:t>
      </w:r>
      <w:r w:rsidR="00A20D67" w:rsidRPr="00730388">
        <w:rPr>
          <w:rFonts w:ascii="Times New Roman" w:hAnsi="Times New Roman"/>
          <w:b/>
          <w:bCs/>
        </w:rPr>
        <w:t xml:space="preserve"> The existence of </w:t>
      </w:r>
      <w:r w:rsidR="00A20D67" w:rsidRPr="00730388">
        <w:rPr>
          <w:rFonts w:ascii="Times New Roman" w:hAnsi="Times New Roman"/>
          <w:b/>
          <w:bCs/>
          <w:i/>
          <w:iCs/>
        </w:rPr>
        <w:t>some</w:t>
      </w:r>
      <w:r w:rsidR="00A20D67" w:rsidRPr="00730388">
        <w:rPr>
          <w:rFonts w:ascii="Times New Roman" w:hAnsi="Times New Roman"/>
          <w:b/>
          <w:bCs/>
        </w:rPr>
        <w:t xml:space="preserve"> support should not be enough to discharge all fundamental rights obligations.</w:t>
      </w:r>
      <w:r w:rsidR="00A20D67" w:rsidRPr="00FE02D7">
        <w:rPr>
          <w:rFonts w:ascii="Times New Roman" w:hAnsi="Times New Roman"/>
        </w:rPr>
        <w:t xml:space="preserve"> Studies have revealed serious concerns about the adequacy of last-resort local authority support. A COMPAS report</w:t>
      </w:r>
      <w:r w:rsidR="007D2A00" w:rsidRPr="007D2A00">
        <w:rPr>
          <w:rFonts w:ascii="Times New Roman" w:hAnsi="Times New Roman"/>
          <w:vertAlign w:val="superscript"/>
        </w:rPr>
        <w:footnoteReference w:id="1"/>
      </w:r>
      <w:r w:rsidR="00A20D67" w:rsidRPr="00FE02D7">
        <w:rPr>
          <w:rFonts w:ascii="Times New Roman" w:hAnsi="Times New Roman"/>
        </w:rPr>
        <w:t xml:space="preserve"> on local authority provision of section 17 </w:t>
      </w:r>
      <w:r w:rsidR="00730388">
        <w:rPr>
          <w:rFonts w:ascii="Times New Roman" w:hAnsi="Times New Roman"/>
        </w:rPr>
        <w:t>support (</w:t>
      </w:r>
      <w:r w:rsidR="00A20D67" w:rsidRPr="00FE02D7">
        <w:rPr>
          <w:rFonts w:ascii="Times New Roman" w:hAnsi="Times New Roman"/>
        </w:rPr>
        <w:t>Children Act 1989</w:t>
      </w:r>
      <w:r w:rsidR="00730388">
        <w:rPr>
          <w:rFonts w:ascii="Times New Roman" w:hAnsi="Times New Roman"/>
        </w:rPr>
        <w:t>)</w:t>
      </w:r>
      <w:r w:rsidR="00A20D67" w:rsidRPr="00FE02D7">
        <w:rPr>
          <w:rFonts w:ascii="Times New Roman" w:hAnsi="Times New Roman"/>
        </w:rPr>
        <w:t xml:space="preserve">, found </w:t>
      </w:r>
      <w:r w:rsidR="00730388">
        <w:rPr>
          <w:rFonts w:ascii="Times New Roman" w:hAnsi="Times New Roman"/>
        </w:rPr>
        <w:t>an</w:t>
      </w:r>
      <w:r w:rsidR="00A20D67" w:rsidRPr="00FE02D7">
        <w:rPr>
          <w:rFonts w:ascii="Times New Roman" w:hAnsi="Times New Roman"/>
        </w:rPr>
        <w:t xml:space="preserve"> LA provid</w:t>
      </w:r>
      <w:r w:rsidR="00730388">
        <w:rPr>
          <w:rFonts w:ascii="Times New Roman" w:hAnsi="Times New Roman"/>
        </w:rPr>
        <w:t>ing</w:t>
      </w:r>
      <w:r w:rsidR="00A20D67" w:rsidRPr="00FE02D7">
        <w:rPr>
          <w:rFonts w:ascii="Times New Roman" w:hAnsi="Times New Roman"/>
        </w:rPr>
        <w:t xml:space="preserve"> payments that for a family with two adults and two children “would amount to little over £1 per person per day”. In “</w:t>
      </w:r>
      <w:r w:rsidR="00A20D67" w:rsidRPr="00FE02D7">
        <w:rPr>
          <w:rFonts w:ascii="Times New Roman" w:hAnsi="Times New Roman"/>
          <w:i/>
          <w:iCs/>
        </w:rPr>
        <w:t>all cases</w:t>
      </w:r>
      <w:r w:rsidR="00A20D67" w:rsidRPr="00FE02D7">
        <w:rPr>
          <w:rFonts w:ascii="Times New Roman" w:hAnsi="Times New Roman"/>
        </w:rPr>
        <w:t>” payments were “well below welfare benefit rates, below Home Office s95 support for destitute asylum seekers, “and even marginally below Home Office s4 ‘hard case’ support rates”.</w:t>
      </w:r>
    </w:p>
    <w:p w14:paraId="09868F44" w14:textId="29D81C39" w:rsidR="00BC1F58" w:rsidRPr="00FE02D7" w:rsidRDefault="00FE02D7" w:rsidP="007D2A00">
      <w:pPr>
        <w:spacing w:after="120"/>
        <w:jc w:val="both"/>
        <w:rPr>
          <w:rFonts w:ascii="Times New Roman" w:hAnsi="Times New Roman"/>
          <w:i/>
          <w:iCs/>
        </w:rPr>
      </w:pPr>
      <w:r w:rsidRPr="00FE02D7">
        <w:rPr>
          <w:rFonts w:ascii="Times New Roman" w:hAnsi="Times New Roman"/>
          <w:i/>
          <w:iCs/>
        </w:rPr>
        <w:t>What happens with p</w:t>
      </w:r>
      <w:r w:rsidR="00BC1F58" w:rsidRPr="00FE02D7">
        <w:rPr>
          <w:rFonts w:ascii="Times New Roman" w:hAnsi="Times New Roman"/>
          <w:i/>
          <w:iCs/>
        </w:rPr>
        <w:t xml:space="preserve">ost-transition </w:t>
      </w:r>
      <w:r w:rsidRPr="00FE02D7">
        <w:rPr>
          <w:rFonts w:ascii="Times New Roman" w:hAnsi="Times New Roman"/>
          <w:i/>
          <w:iCs/>
        </w:rPr>
        <w:t>cases?</w:t>
      </w:r>
    </w:p>
    <w:p w14:paraId="5B8AD862" w14:textId="17BB5DFC" w:rsidR="00A20D67" w:rsidRPr="00FE02D7" w:rsidRDefault="00A20D67" w:rsidP="007D2A00">
      <w:pPr>
        <w:pStyle w:val="ListParagraph"/>
        <w:numPr>
          <w:ilvl w:val="0"/>
          <w:numId w:val="1"/>
        </w:numPr>
        <w:spacing w:after="120"/>
        <w:contextualSpacing w:val="0"/>
        <w:jc w:val="both"/>
        <w:rPr>
          <w:rFonts w:ascii="Times New Roman" w:hAnsi="Times New Roman"/>
        </w:rPr>
      </w:pPr>
      <w:r w:rsidRPr="00FE02D7">
        <w:rPr>
          <w:rFonts w:ascii="Times New Roman" w:hAnsi="Times New Roman"/>
        </w:rPr>
        <w:t>The cases discussed above concern facts arising before the end of the transition period, during a time in which EU law was still applicable. From 1 January 2021, EU law no longer applies in the UK, but the Withdrawal Agreement does – and this is meant to have similar direct effect in UK law (that is</w:t>
      </w:r>
      <w:r w:rsidR="005D2400">
        <w:rPr>
          <w:rFonts w:ascii="Times New Roman" w:hAnsi="Times New Roman"/>
        </w:rPr>
        <w:t>,</w:t>
      </w:r>
      <w:r w:rsidRPr="00FE02D7">
        <w:rPr>
          <w:rFonts w:ascii="Times New Roman" w:hAnsi="Times New Roman"/>
        </w:rPr>
        <w:t xml:space="preserve"> individuals should be able to rely on its provisions in domestic courts)</w:t>
      </w:r>
      <w:r w:rsidR="00B52043">
        <w:rPr>
          <w:rFonts w:ascii="Times New Roman" w:hAnsi="Times New Roman"/>
        </w:rPr>
        <w:t xml:space="preserve">, so has </w:t>
      </w:r>
      <w:r w:rsidRPr="00FE02D7">
        <w:rPr>
          <w:rFonts w:ascii="Times New Roman" w:hAnsi="Times New Roman"/>
        </w:rPr>
        <w:t xml:space="preserve">been incorporated into UK law through the </w:t>
      </w:r>
      <w:r w:rsidR="005D2400">
        <w:rPr>
          <w:rFonts w:ascii="Times New Roman" w:hAnsi="Times New Roman"/>
        </w:rPr>
        <w:t>European Union (</w:t>
      </w:r>
      <w:r w:rsidRPr="00FE02D7">
        <w:rPr>
          <w:rFonts w:ascii="Times New Roman" w:hAnsi="Times New Roman"/>
        </w:rPr>
        <w:t>Withdrawal Agreement</w:t>
      </w:r>
      <w:r w:rsidR="005D2400">
        <w:rPr>
          <w:rFonts w:ascii="Times New Roman" w:hAnsi="Times New Roman"/>
        </w:rPr>
        <w:t>)</w:t>
      </w:r>
      <w:r w:rsidRPr="00FE02D7">
        <w:rPr>
          <w:rFonts w:ascii="Times New Roman" w:hAnsi="Times New Roman"/>
        </w:rPr>
        <w:t xml:space="preserve"> Act 2020.</w:t>
      </w:r>
    </w:p>
    <w:p w14:paraId="0ED09C70" w14:textId="44C58E98" w:rsidR="00295E0D" w:rsidRPr="000B663E" w:rsidRDefault="00295E0D" w:rsidP="000B663E">
      <w:pPr>
        <w:pStyle w:val="ListParagraph"/>
        <w:numPr>
          <w:ilvl w:val="0"/>
          <w:numId w:val="1"/>
        </w:numPr>
        <w:spacing w:after="120"/>
        <w:ind w:left="357" w:hanging="357"/>
        <w:contextualSpacing w:val="0"/>
        <w:jc w:val="both"/>
        <w:rPr>
          <w:rFonts w:ascii="Times New Roman" w:hAnsi="Times New Roman"/>
        </w:rPr>
      </w:pPr>
      <w:r>
        <w:rPr>
          <w:rFonts w:ascii="Times New Roman" w:hAnsi="Times New Roman"/>
        </w:rPr>
        <w:t>We note that the DWP have issued misleading guidance to decision-makers on the effect of the Court of Appeal’s quashing order, stating that “</w:t>
      </w:r>
      <w:r w:rsidRPr="00295E0D">
        <w:rPr>
          <w:rFonts w:ascii="Times New Roman" w:hAnsi="Times New Roman"/>
        </w:rPr>
        <w:t>the judgment itself is only relevant to claims made up to the end of the transition period</w:t>
      </w:r>
      <w:r>
        <w:rPr>
          <w:rFonts w:ascii="Times New Roman" w:hAnsi="Times New Roman"/>
        </w:rPr>
        <w:t>” (Memo ADM 02/21 [20])</w:t>
      </w:r>
      <w:r w:rsidRPr="00295E0D">
        <w:rPr>
          <w:rFonts w:ascii="Times New Roman" w:hAnsi="Times New Roman"/>
        </w:rPr>
        <w:t>.</w:t>
      </w:r>
      <w:r>
        <w:rPr>
          <w:rFonts w:ascii="Times New Roman" w:hAnsi="Times New Roman"/>
        </w:rPr>
        <w:t xml:space="preserve"> As a result, at the EU Rights &amp; Brexit Hub, we have seen decision makers </w:t>
      </w:r>
      <w:proofErr w:type="gramStart"/>
      <w:r>
        <w:rPr>
          <w:rFonts w:ascii="Times New Roman" w:hAnsi="Times New Roman"/>
        </w:rPr>
        <w:t>stating</w:t>
      </w:r>
      <w:proofErr w:type="gramEnd"/>
      <w:r>
        <w:rPr>
          <w:rFonts w:ascii="Times New Roman" w:hAnsi="Times New Roman"/>
        </w:rPr>
        <w:t xml:space="preserve"> “the judgment only applies to applications made prior to the end of the transition period”. </w:t>
      </w:r>
      <w:r w:rsidR="000B663E" w:rsidRPr="000B663E">
        <w:rPr>
          <w:rFonts w:ascii="Times New Roman" w:hAnsi="Times New Roman"/>
        </w:rPr>
        <w:t>T</w:t>
      </w:r>
      <w:r w:rsidRPr="000B663E">
        <w:rPr>
          <w:rFonts w:ascii="Times New Roman" w:hAnsi="Times New Roman"/>
        </w:rPr>
        <w:t>his is an incorrect statement of the law. The Court of Appeal did not (and, cannot) issue a time-limiting quashing order, and SSWP cannot “</w:t>
      </w:r>
      <w:proofErr w:type="spellStart"/>
      <w:r w:rsidRPr="000B663E">
        <w:rPr>
          <w:rFonts w:ascii="Times New Roman" w:hAnsi="Times New Roman"/>
        </w:rPr>
        <w:t>unquash</w:t>
      </w:r>
      <w:proofErr w:type="spellEnd"/>
      <w:r w:rsidRPr="000B663E">
        <w:rPr>
          <w:rFonts w:ascii="Times New Roman" w:hAnsi="Times New Roman"/>
        </w:rPr>
        <w:t xml:space="preserve">” regulations by dint of decision maker guidance. </w:t>
      </w:r>
    </w:p>
    <w:p w14:paraId="7E517995" w14:textId="1DB13C5E" w:rsidR="00B42CFD" w:rsidRPr="005D2400" w:rsidRDefault="00295E0D" w:rsidP="005D2400">
      <w:pPr>
        <w:pStyle w:val="ListParagraph"/>
        <w:numPr>
          <w:ilvl w:val="0"/>
          <w:numId w:val="1"/>
        </w:numPr>
        <w:spacing w:after="120"/>
        <w:contextualSpacing w:val="0"/>
        <w:jc w:val="both"/>
        <w:rPr>
          <w:rFonts w:ascii="Times New Roman" w:hAnsi="Times New Roman"/>
        </w:rPr>
      </w:pPr>
      <w:proofErr w:type="gramStart"/>
      <w:r>
        <w:rPr>
          <w:rFonts w:ascii="Times New Roman" w:hAnsi="Times New Roman"/>
        </w:rPr>
        <w:t>However</w:t>
      </w:r>
      <w:proofErr w:type="gramEnd"/>
      <w:r>
        <w:rPr>
          <w:rFonts w:ascii="Times New Roman" w:hAnsi="Times New Roman"/>
        </w:rPr>
        <w:t xml:space="preserve"> in light of </w:t>
      </w:r>
      <w:r w:rsidRPr="00295E0D">
        <w:rPr>
          <w:rFonts w:ascii="Times New Roman" w:hAnsi="Times New Roman"/>
          <w:i/>
          <w:iCs/>
        </w:rPr>
        <w:t>CG</w:t>
      </w:r>
      <w:r>
        <w:rPr>
          <w:rFonts w:ascii="Times New Roman" w:hAnsi="Times New Roman"/>
        </w:rPr>
        <w:t>, the main issue is the continuing role of</w:t>
      </w:r>
      <w:r w:rsidR="005D2400">
        <w:rPr>
          <w:rFonts w:ascii="Times New Roman" w:hAnsi="Times New Roman"/>
        </w:rPr>
        <w:t xml:space="preserve"> t</w:t>
      </w:r>
      <w:r w:rsidR="00A20D67" w:rsidRPr="00FE02D7">
        <w:rPr>
          <w:rFonts w:ascii="Times New Roman" w:hAnsi="Times New Roman"/>
        </w:rPr>
        <w:t>he Charter of Fundamental Rights</w:t>
      </w:r>
      <w:r>
        <w:rPr>
          <w:rFonts w:ascii="Times New Roman" w:hAnsi="Times New Roman"/>
        </w:rPr>
        <w:t xml:space="preserve">. While the CFR </w:t>
      </w:r>
      <w:r w:rsidR="005D2400">
        <w:rPr>
          <w:rFonts w:ascii="Times New Roman" w:hAnsi="Times New Roman"/>
        </w:rPr>
        <w:t>is central to the pre-2021 cases,</w:t>
      </w:r>
      <w:r w:rsidR="00A20D67" w:rsidRPr="00FE02D7">
        <w:rPr>
          <w:rFonts w:ascii="Times New Roman" w:hAnsi="Times New Roman"/>
        </w:rPr>
        <w:t xml:space="preserve"> </w:t>
      </w:r>
      <w:r>
        <w:rPr>
          <w:rFonts w:ascii="Times New Roman" w:hAnsi="Times New Roman"/>
        </w:rPr>
        <w:t>its place in</w:t>
      </w:r>
      <w:r w:rsidR="005D2400">
        <w:rPr>
          <w:rFonts w:ascii="Times New Roman" w:hAnsi="Times New Roman"/>
        </w:rPr>
        <w:t xml:space="preserve"> </w:t>
      </w:r>
      <w:r w:rsidR="000B663E">
        <w:rPr>
          <w:rFonts w:ascii="Times New Roman" w:hAnsi="Times New Roman"/>
        </w:rPr>
        <w:t xml:space="preserve">the </w:t>
      </w:r>
      <w:r w:rsidR="00A20D67" w:rsidRPr="00FE02D7">
        <w:rPr>
          <w:rFonts w:ascii="Times New Roman" w:hAnsi="Times New Roman"/>
        </w:rPr>
        <w:t xml:space="preserve">Withdrawal </w:t>
      </w:r>
      <w:r w:rsidR="000B663E">
        <w:rPr>
          <w:rFonts w:ascii="Times New Roman" w:hAnsi="Times New Roman"/>
        </w:rPr>
        <w:t xml:space="preserve">Agreement </w:t>
      </w:r>
      <w:r>
        <w:rPr>
          <w:rFonts w:ascii="Times New Roman" w:hAnsi="Times New Roman"/>
        </w:rPr>
        <w:t>is vague</w:t>
      </w:r>
      <w:r w:rsidR="004E5DC1">
        <w:rPr>
          <w:rFonts w:ascii="Times New Roman" w:hAnsi="Times New Roman"/>
        </w:rPr>
        <w:t>.</w:t>
      </w:r>
      <w:r w:rsidR="00A20D67" w:rsidRPr="004E5DC1">
        <w:rPr>
          <w:rFonts w:ascii="Times New Roman" w:hAnsi="Times New Roman"/>
        </w:rPr>
        <w:t xml:space="preserve"> It is included in the definition of </w:t>
      </w:r>
      <w:r w:rsidR="005D2400">
        <w:rPr>
          <w:rFonts w:ascii="Times New Roman" w:hAnsi="Times New Roman"/>
        </w:rPr>
        <w:t>“</w:t>
      </w:r>
      <w:r w:rsidR="00A20D67" w:rsidRPr="004E5DC1">
        <w:rPr>
          <w:rFonts w:ascii="Times New Roman" w:hAnsi="Times New Roman"/>
        </w:rPr>
        <w:t>Union law</w:t>
      </w:r>
      <w:r w:rsidR="005D2400">
        <w:rPr>
          <w:rFonts w:ascii="Times New Roman" w:hAnsi="Times New Roman"/>
        </w:rPr>
        <w:t xml:space="preserve">” </w:t>
      </w:r>
      <w:r w:rsidR="00A20D67" w:rsidRPr="004E5DC1">
        <w:rPr>
          <w:rFonts w:ascii="Times New Roman" w:hAnsi="Times New Roman"/>
        </w:rPr>
        <w:t>(Art 2(a)(</w:t>
      </w:r>
      <w:proofErr w:type="spellStart"/>
      <w:r w:rsidR="00A20D67" w:rsidRPr="004E5DC1">
        <w:rPr>
          <w:rFonts w:ascii="Times New Roman" w:hAnsi="Times New Roman"/>
        </w:rPr>
        <w:t>i</w:t>
      </w:r>
      <w:proofErr w:type="spellEnd"/>
      <w:r w:rsidR="00A20D67" w:rsidRPr="004E5DC1">
        <w:rPr>
          <w:rFonts w:ascii="Times New Roman" w:hAnsi="Times New Roman"/>
        </w:rPr>
        <w:t>) WA)</w:t>
      </w:r>
      <w:r w:rsidR="000B663E">
        <w:rPr>
          <w:rFonts w:ascii="Times New Roman" w:hAnsi="Times New Roman"/>
        </w:rPr>
        <w:t>, and t</w:t>
      </w:r>
      <w:r w:rsidR="00B42CFD" w:rsidRPr="004E5DC1">
        <w:rPr>
          <w:rFonts w:ascii="Times New Roman" w:hAnsi="Times New Roman"/>
        </w:rPr>
        <w:t xml:space="preserve">he provisions on residence rights </w:t>
      </w:r>
      <w:r w:rsidR="000B663E">
        <w:rPr>
          <w:rFonts w:ascii="Times New Roman" w:hAnsi="Times New Roman"/>
        </w:rPr>
        <w:t>cite</w:t>
      </w:r>
      <w:r w:rsidR="00B42CFD" w:rsidRPr="004E5DC1">
        <w:rPr>
          <w:rFonts w:ascii="Times New Roman" w:hAnsi="Times New Roman"/>
        </w:rPr>
        <w:t xml:space="preserve"> specific Union law</w:t>
      </w:r>
      <w:r w:rsidR="000B663E">
        <w:rPr>
          <w:rFonts w:ascii="Times New Roman" w:hAnsi="Times New Roman"/>
        </w:rPr>
        <w:t xml:space="preserve"> provisions</w:t>
      </w:r>
      <w:r w:rsidR="00B42CFD" w:rsidRPr="004E5DC1">
        <w:rPr>
          <w:rFonts w:ascii="Times New Roman" w:hAnsi="Times New Roman"/>
        </w:rPr>
        <w:t>.</w:t>
      </w:r>
      <w:r w:rsidR="004E5DC1" w:rsidRPr="004E5DC1">
        <w:rPr>
          <w:rFonts w:ascii="Times New Roman" w:hAnsi="Times New Roman"/>
        </w:rPr>
        <w:t xml:space="preserve"> For example, Article 13 WA draws upon “Articles 21, 45 or 49 TFEU… Article 6(1), Article 7(1), Article 7(3), Article 14, Article 16(1) [and] Article 17(1) of Directive 2004/38/EC”.</w:t>
      </w:r>
      <w:r w:rsidR="005D2400">
        <w:rPr>
          <w:rFonts w:ascii="Times New Roman" w:hAnsi="Times New Roman"/>
        </w:rPr>
        <w:t xml:space="preserve"> Article 15 WA states that p</w:t>
      </w:r>
      <w:r w:rsidR="00B42CFD" w:rsidRPr="005D2400">
        <w:rPr>
          <w:rFonts w:ascii="Times New Roman" w:hAnsi="Times New Roman"/>
        </w:rPr>
        <w:t xml:space="preserve">ermanent residence (settled status in the EUSS), may be acquired through accruing periods of </w:t>
      </w:r>
      <w:r w:rsidR="000B663E">
        <w:rPr>
          <w:rFonts w:ascii="Times New Roman" w:hAnsi="Times New Roman"/>
        </w:rPr>
        <w:t>“</w:t>
      </w:r>
      <w:r w:rsidR="00B42CFD" w:rsidRPr="005D2400">
        <w:rPr>
          <w:rFonts w:ascii="Times New Roman" w:hAnsi="Times New Roman"/>
        </w:rPr>
        <w:t>legal residence or work</w:t>
      </w:r>
      <w:r w:rsidR="00B42CFD" w:rsidRPr="005D2400">
        <w:rPr>
          <w:rFonts w:ascii="Times New Roman" w:hAnsi="Times New Roman"/>
          <w:i/>
          <w:iCs/>
        </w:rPr>
        <w:t xml:space="preserve"> in accordance with Union law</w:t>
      </w:r>
      <w:r w:rsidR="00B42CFD" w:rsidRPr="005D2400">
        <w:rPr>
          <w:rFonts w:ascii="Times New Roman" w:hAnsi="Times New Roman"/>
        </w:rPr>
        <w:t xml:space="preserve"> before </w:t>
      </w:r>
      <w:r w:rsidR="00B42CFD" w:rsidRPr="005D2400">
        <w:rPr>
          <w:rFonts w:ascii="Times New Roman" w:hAnsi="Times New Roman"/>
          <w:i/>
          <w:iCs/>
        </w:rPr>
        <w:t>and after</w:t>
      </w:r>
      <w:r w:rsidR="00B42CFD" w:rsidRPr="005D2400">
        <w:rPr>
          <w:rFonts w:ascii="Times New Roman" w:hAnsi="Times New Roman"/>
        </w:rPr>
        <w:t xml:space="preserve"> the end of the transition period</w:t>
      </w:r>
      <w:r w:rsidR="000B663E">
        <w:rPr>
          <w:rFonts w:ascii="Times New Roman" w:hAnsi="Times New Roman"/>
        </w:rPr>
        <w:t>”</w:t>
      </w:r>
      <w:r w:rsidR="00B42CFD" w:rsidRPr="005D2400">
        <w:rPr>
          <w:rFonts w:ascii="Times New Roman" w:hAnsi="Times New Roman"/>
        </w:rPr>
        <w:t>.</w:t>
      </w:r>
    </w:p>
    <w:p w14:paraId="6898178B" w14:textId="496C8242" w:rsidR="007D2A00" w:rsidRPr="00730388" w:rsidRDefault="007D2A00" w:rsidP="007D2A00">
      <w:pPr>
        <w:pStyle w:val="ListParagraph"/>
        <w:numPr>
          <w:ilvl w:val="0"/>
          <w:numId w:val="1"/>
        </w:numPr>
        <w:spacing w:after="120"/>
        <w:contextualSpacing w:val="0"/>
        <w:jc w:val="both"/>
        <w:rPr>
          <w:rFonts w:ascii="Times New Roman" w:hAnsi="Times New Roman"/>
        </w:rPr>
      </w:pPr>
      <w:r>
        <w:rPr>
          <w:rFonts w:ascii="Times New Roman" w:hAnsi="Times New Roman"/>
        </w:rPr>
        <w:t>Article 4(3) WA states: “</w:t>
      </w:r>
      <w:r w:rsidRPr="007D2A00">
        <w:rPr>
          <w:rFonts w:ascii="Times New Roman" w:hAnsi="Times New Roman"/>
          <w:i/>
          <w:iCs/>
        </w:rPr>
        <w:t xml:space="preserve">The provisions of this Agreement referring to Union law </w:t>
      </w:r>
      <w:r w:rsidRPr="00730388">
        <w:rPr>
          <w:rFonts w:ascii="Times New Roman" w:hAnsi="Times New Roman"/>
          <w:i/>
          <w:iCs/>
        </w:rPr>
        <w:t>or to concepts or provisions thereof shall be interpreted and applied in accordance with the methods and general principles of Union law</w:t>
      </w:r>
      <w:r w:rsidRPr="00730388">
        <w:rPr>
          <w:rFonts w:ascii="Times New Roman" w:hAnsi="Times New Roman"/>
        </w:rPr>
        <w:t>.”</w:t>
      </w:r>
    </w:p>
    <w:p w14:paraId="0B42ADF7" w14:textId="34A37F37" w:rsidR="00B42CFD" w:rsidRPr="00FE02D7" w:rsidRDefault="00B42CFD" w:rsidP="007D2A00">
      <w:pPr>
        <w:pStyle w:val="ListParagraph"/>
        <w:numPr>
          <w:ilvl w:val="0"/>
          <w:numId w:val="1"/>
        </w:numPr>
        <w:spacing w:after="120"/>
        <w:contextualSpacing w:val="0"/>
        <w:jc w:val="both"/>
        <w:rPr>
          <w:rFonts w:ascii="Times New Roman" w:hAnsi="Times New Roman"/>
        </w:rPr>
      </w:pPr>
      <w:r w:rsidRPr="00730388">
        <w:rPr>
          <w:rFonts w:ascii="Times New Roman" w:hAnsi="Times New Roman"/>
        </w:rPr>
        <w:t>Article 4(4) WA states</w:t>
      </w:r>
      <w:r w:rsidR="007D2A00" w:rsidRPr="00730388">
        <w:rPr>
          <w:rFonts w:ascii="Times New Roman" w:hAnsi="Times New Roman"/>
        </w:rPr>
        <w:t>:</w:t>
      </w:r>
      <w:r w:rsidRPr="00730388">
        <w:rPr>
          <w:rFonts w:ascii="Times New Roman" w:hAnsi="Times New Roman"/>
        </w:rPr>
        <w:t xml:space="preserve"> </w:t>
      </w:r>
      <w:r w:rsidR="005D2400" w:rsidRPr="00730388">
        <w:rPr>
          <w:rFonts w:ascii="Times New Roman" w:hAnsi="Times New Roman"/>
        </w:rPr>
        <w:t>“</w:t>
      </w:r>
      <w:r w:rsidRPr="00B42CFD">
        <w:rPr>
          <w:rFonts w:ascii="Times New Roman" w:hAnsi="Times New Roman"/>
          <w:i/>
          <w:iCs/>
        </w:rPr>
        <w:t>The provisions of this Agreement referring to Union law or to concepts or provisions thereof shall in their implementation and application be interpreted in conformity with the relevant case law of the Court of Justice of the European Union handed down before the end of the transition period</w:t>
      </w:r>
      <w:r w:rsidR="005D2400">
        <w:rPr>
          <w:rFonts w:ascii="Times New Roman" w:hAnsi="Times New Roman"/>
        </w:rPr>
        <w:t>”</w:t>
      </w:r>
      <w:r w:rsidRPr="00B42CFD">
        <w:rPr>
          <w:rFonts w:ascii="Times New Roman" w:hAnsi="Times New Roman"/>
        </w:rPr>
        <w:t>.</w:t>
      </w:r>
    </w:p>
    <w:p w14:paraId="4586D03A" w14:textId="3FEECCAA" w:rsidR="00FE02D7" w:rsidRDefault="00B42CFD" w:rsidP="007D2A00">
      <w:pPr>
        <w:pStyle w:val="ListParagraph"/>
        <w:numPr>
          <w:ilvl w:val="0"/>
          <w:numId w:val="1"/>
        </w:numPr>
        <w:spacing w:after="120"/>
        <w:contextualSpacing w:val="0"/>
        <w:jc w:val="both"/>
        <w:rPr>
          <w:rFonts w:ascii="Times New Roman" w:hAnsi="Times New Roman"/>
        </w:rPr>
      </w:pPr>
      <w:r w:rsidRPr="00FE02D7">
        <w:rPr>
          <w:rFonts w:ascii="Times New Roman" w:hAnsi="Times New Roman"/>
        </w:rPr>
        <w:t xml:space="preserve">It is therefore arguable that </w:t>
      </w:r>
      <w:r w:rsidR="004E5DC1">
        <w:rPr>
          <w:rFonts w:ascii="Times New Roman" w:hAnsi="Times New Roman"/>
        </w:rPr>
        <w:t xml:space="preserve">WA/EUSS </w:t>
      </w:r>
      <w:r w:rsidRPr="00FE02D7">
        <w:rPr>
          <w:rFonts w:ascii="Times New Roman" w:hAnsi="Times New Roman"/>
        </w:rPr>
        <w:t xml:space="preserve">residence rights should be interpreted in line with the Charter of Fundamental </w:t>
      </w:r>
      <w:r w:rsidR="007D2A00">
        <w:rPr>
          <w:rFonts w:ascii="Times New Roman" w:hAnsi="Times New Roman"/>
        </w:rPr>
        <w:t>R</w:t>
      </w:r>
      <w:r w:rsidRPr="00FE02D7">
        <w:rPr>
          <w:rFonts w:ascii="Times New Roman" w:hAnsi="Times New Roman"/>
        </w:rPr>
        <w:t xml:space="preserve">ights, </w:t>
      </w:r>
      <w:r w:rsidR="005D2400">
        <w:rPr>
          <w:rFonts w:ascii="Times New Roman" w:hAnsi="Times New Roman"/>
        </w:rPr>
        <w:t xml:space="preserve">insofar is it forms a part of the “methods and general principles” of Union law, </w:t>
      </w:r>
      <w:proofErr w:type="gramStart"/>
      <w:r w:rsidRPr="00FE02D7">
        <w:rPr>
          <w:rFonts w:ascii="Times New Roman" w:hAnsi="Times New Roman"/>
        </w:rPr>
        <w:t xml:space="preserve">and </w:t>
      </w:r>
      <w:r w:rsidR="005D2400">
        <w:rPr>
          <w:rFonts w:ascii="Times New Roman" w:hAnsi="Times New Roman"/>
        </w:rPr>
        <w:t>also</w:t>
      </w:r>
      <w:proofErr w:type="gramEnd"/>
      <w:r w:rsidR="005D2400">
        <w:rPr>
          <w:rFonts w:ascii="Times New Roman" w:hAnsi="Times New Roman"/>
        </w:rPr>
        <w:t xml:space="preserve"> in line with Charter</w:t>
      </w:r>
      <w:r w:rsidRPr="00FE02D7">
        <w:rPr>
          <w:rFonts w:ascii="Times New Roman" w:hAnsi="Times New Roman"/>
        </w:rPr>
        <w:t xml:space="preserve"> case law</w:t>
      </w:r>
      <w:r w:rsidR="004E5DC1">
        <w:rPr>
          <w:rFonts w:ascii="Times New Roman" w:hAnsi="Times New Roman"/>
        </w:rPr>
        <w:t xml:space="preserve">, </w:t>
      </w:r>
      <w:r w:rsidR="004E5DC1" w:rsidRPr="00730388">
        <w:rPr>
          <w:rFonts w:ascii="Times New Roman" w:hAnsi="Times New Roman"/>
          <w:b/>
          <w:bCs/>
        </w:rPr>
        <w:t>obliging the UK to continue to consider fundamental rights before refusing Universal Credit to people with pre-settled status</w:t>
      </w:r>
      <w:r w:rsidRPr="00FE02D7">
        <w:rPr>
          <w:rFonts w:ascii="Times New Roman" w:hAnsi="Times New Roman"/>
        </w:rPr>
        <w:t>.</w:t>
      </w:r>
    </w:p>
    <w:p w14:paraId="073EFF60" w14:textId="099E1BBB" w:rsidR="00B42CFD" w:rsidRPr="00FE02D7" w:rsidRDefault="00B42CFD" w:rsidP="007D2A00">
      <w:pPr>
        <w:pStyle w:val="ListParagraph"/>
        <w:numPr>
          <w:ilvl w:val="0"/>
          <w:numId w:val="1"/>
        </w:numPr>
        <w:spacing w:after="120"/>
        <w:contextualSpacing w:val="0"/>
        <w:jc w:val="both"/>
        <w:rPr>
          <w:rFonts w:ascii="Times New Roman" w:hAnsi="Times New Roman"/>
        </w:rPr>
      </w:pPr>
      <w:r w:rsidRPr="00FE02D7">
        <w:rPr>
          <w:rFonts w:ascii="Times New Roman" w:hAnsi="Times New Roman"/>
        </w:rPr>
        <w:t xml:space="preserve">A post-transition case would also require dealing with the mismatch, and gaps, between the </w:t>
      </w:r>
      <w:r w:rsidR="001E7352" w:rsidRPr="00FE02D7">
        <w:rPr>
          <w:rFonts w:ascii="Times New Roman" w:hAnsi="Times New Roman"/>
        </w:rPr>
        <w:t xml:space="preserve">EUSS and WA residence provisions. </w:t>
      </w:r>
      <w:r w:rsidR="00D22322" w:rsidRPr="00FE02D7">
        <w:rPr>
          <w:rFonts w:ascii="Times New Roman" w:hAnsi="Times New Roman"/>
        </w:rPr>
        <w:t xml:space="preserve">Article 18 WA permits the UK to require EU citizens </w:t>
      </w:r>
      <w:r w:rsidR="00730388">
        <w:rPr>
          <w:rFonts w:ascii="Times New Roman" w:hAnsi="Times New Roman"/>
        </w:rPr>
        <w:t>“</w:t>
      </w:r>
      <w:r w:rsidR="00D22322" w:rsidRPr="00FE02D7">
        <w:rPr>
          <w:rFonts w:ascii="Times New Roman" w:hAnsi="Times New Roman"/>
        </w:rPr>
        <w:t xml:space="preserve">to apply for a new residence status </w:t>
      </w:r>
      <w:r w:rsidR="00D22322" w:rsidRPr="00730388">
        <w:rPr>
          <w:rFonts w:ascii="Times New Roman" w:hAnsi="Times New Roman"/>
          <w:u w:val="single"/>
        </w:rPr>
        <w:t>which confers the rights under this Title</w:t>
      </w:r>
      <w:r w:rsidR="00D22322" w:rsidRPr="00FE02D7">
        <w:rPr>
          <w:rFonts w:ascii="Times New Roman" w:hAnsi="Times New Roman"/>
        </w:rPr>
        <w:t xml:space="preserve"> and a document evidencing such status which may be in a digital form</w:t>
      </w:r>
      <w:r w:rsidR="00730388">
        <w:rPr>
          <w:rFonts w:ascii="Times New Roman" w:hAnsi="Times New Roman"/>
        </w:rPr>
        <w:t>”</w:t>
      </w:r>
      <w:r w:rsidR="00D22322" w:rsidRPr="00FE02D7">
        <w:rPr>
          <w:rFonts w:ascii="Times New Roman" w:hAnsi="Times New Roman"/>
        </w:rPr>
        <w:t>.</w:t>
      </w:r>
    </w:p>
    <w:p w14:paraId="64BD8515" w14:textId="454870DD" w:rsidR="00D22322" w:rsidRPr="00FE02D7" w:rsidRDefault="00D22322" w:rsidP="007D2A00">
      <w:pPr>
        <w:pStyle w:val="ListParagraph"/>
        <w:numPr>
          <w:ilvl w:val="0"/>
          <w:numId w:val="1"/>
        </w:numPr>
        <w:spacing w:after="120"/>
        <w:contextualSpacing w:val="0"/>
        <w:jc w:val="both"/>
        <w:rPr>
          <w:rFonts w:ascii="Times New Roman" w:hAnsi="Times New Roman"/>
        </w:rPr>
      </w:pPr>
      <w:r w:rsidRPr="00FE02D7">
        <w:rPr>
          <w:rFonts w:ascii="Times New Roman" w:hAnsi="Times New Roman"/>
        </w:rPr>
        <w:lastRenderedPageBreak/>
        <w:t>The rationale of the EUSS is that the UK</w:t>
      </w:r>
      <w:r w:rsidR="007D2A00">
        <w:rPr>
          <w:rFonts w:ascii="Times New Roman" w:hAnsi="Times New Roman"/>
        </w:rPr>
        <w:t xml:space="preserve"> has</w:t>
      </w:r>
      <w:r w:rsidRPr="00FE02D7">
        <w:rPr>
          <w:rFonts w:ascii="Times New Roman" w:hAnsi="Times New Roman"/>
        </w:rPr>
        <w:t xml:space="preserve"> exercis</w:t>
      </w:r>
      <w:r w:rsidR="007D2A00">
        <w:rPr>
          <w:rFonts w:ascii="Times New Roman" w:hAnsi="Times New Roman"/>
        </w:rPr>
        <w:t>ed the option</w:t>
      </w:r>
      <w:r w:rsidRPr="00FE02D7">
        <w:rPr>
          <w:rFonts w:ascii="Times New Roman" w:hAnsi="Times New Roman"/>
        </w:rPr>
        <w:t xml:space="preserve"> under Article 18 WA to create a constitutive scheme, requiring all EU </w:t>
      </w:r>
      <w:proofErr w:type="gramStart"/>
      <w:r w:rsidRPr="00FE02D7">
        <w:rPr>
          <w:rFonts w:ascii="Times New Roman" w:hAnsi="Times New Roman"/>
        </w:rPr>
        <w:t>nationals</w:t>
      </w:r>
      <w:proofErr w:type="gramEnd"/>
      <w:r w:rsidRPr="00FE02D7">
        <w:rPr>
          <w:rFonts w:ascii="Times New Roman" w:hAnsi="Times New Roman"/>
        </w:rPr>
        <w:t xml:space="preserve"> resident in the UK to apply to the scheme or else lose their rights to reside entirely and irrevocably. It is the status that confers the rights,</w:t>
      </w:r>
      <w:r w:rsidR="005D2400">
        <w:rPr>
          <w:rFonts w:ascii="Times New Roman" w:hAnsi="Times New Roman"/>
        </w:rPr>
        <w:t xml:space="preserve"> regardless of meeting the underlying conditions,</w:t>
      </w:r>
      <w:r w:rsidRPr="00FE02D7">
        <w:rPr>
          <w:rFonts w:ascii="Times New Roman" w:hAnsi="Times New Roman"/>
        </w:rPr>
        <w:t xml:space="preserve"> and that status is evidence</w:t>
      </w:r>
      <w:r w:rsidR="007D2A00">
        <w:rPr>
          <w:rFonts w:ascii="Times New Roman" w:hAnsi="Times New Roman"/>
        </w:rPr>
        <w:t>d</w:t>
      </w:r>
      <w:r w:rsidRPr="00FE02D7">
        <w:rPr>
          <w:rFonts w:ascii="Times New Roman" w:hAnsi="Times New Roman"/>
        </w:rPr>
        <w:t xml:space="preserve"> in digital form.</w:t>
      </w:r>
    </w:p>
    <w:p w14:paraId="38C7A507" w14:textId="5BE740E5" w:rsidR="00D22322" w:rsidRPr="00FE02D7" w:rsidRDefault="00D22322" w:rsidP="007D2A00">
      <w:pPr>
        <w:pStyle w:val="ListParagraph"/>
        <w:numPr>
          <w:ilvl w:val="0"/>
          <w:numId w:val="1"/>
        </w:numPr>
        <w:spacing w:after="120"/>
        <w:contextualSpacing w:val="0"/>
        <w:jc w:val="both"/>
        <w:rPr>
          <w:rFonts w:ascii="Times New Roman" w:hAnsi="Times New Roman"/>
        </w:rPr>
      </w:pPr>
      <w:r w:rsidRPr="00FE02D7">
        <w:rPr>
          <w:rFonts w:ascii="Times New Roman" w:hAnsi="Times New Roman"/>
        </w:rPr>
        <w:t xml:space="preserve">The holding of pre-settled status is not dependent upon meeting conditions relating to economic activity and/or self-sufficiency, but </w:t>
      </w:r>
      <w:r w:rsidR="005D2400">
        <w:rPr>
          <w:rFonts w:ascii="Times New Roman" w:hAnsi="Times New Roman"/>
        </w:rPr>
        <w:t xml:space="preserve">in contrast </w:t>
      </w:r>
      <w:r w:rsidRPr="00FE02D7">
        <w:rPr>
          <w:rFonts w:ascii="Times New Roman" w:hAnsi="Times New Roman"/>
        </w:rPr>
        <w:t>temporary residence rights under Article 13 WA are dependent upon meeting those conditions.</w:t>
      </w:r>
    </w:p>
    <w:p w14:paraId="67D8121E" w14:textId="7BEFD555" w:rsidR="00D22322" w:rsidRPr="00FE02D7" w:rsidRDefault="00D22322" w:rsidP="007D2A00">
      <w:pPr>
        <w:pStyle w:val="ListParagraph"/>
        <w:numPr>
          <w:ilvl w:val="0"/>
          <w:numId w:val="1"/>
        </w:numPr>
        <w:spacing w:after="120"/>
        <w:contextualSpacing w:val="0"/>
        <w:jc w:val="both"/>
        <w:rPr>
          <w:rFonts w:ascii="Times New Roman" w:hAnsi="Times New Roman"/>
        </w:rPr>
      </w:pPr>
      <w:r w:rsidRPr="00FE02D7">
        <w:rPr>
          <w:rFonts w:ascii="Times New Roman" w:hAnsi="Times New Roman"/>
        </w:rPr>
        <w:t xml:space="preserve">If pre-settled status is to be treated as equivalent to Article 13 status, then the UK should be considered to have exercised its option to adopt “more favourable provisions” under Article 38 WA, and pre-settled status is </w:t>
      </w:r>
      <w:r w:rsidR="00730388">
        <w:rPr>
          <w:rFonts w:ascii="Times New Roman" w:hAnsi="Times New Roman"/>
        </w:rPr>
        <w:t>a</w:t>
      </w:r>
      <w:r w:rsidRPr="00FE02D7">
        <w:rPr>
          <w:rFonts w:ascii="Times New Roman" w:hAnsi="Times New Roman"/>
        </w:rPr>
        <w:t xml:space="preserve"> constitutive status which</w:t>
      </w:r>
      <w:r w:rsidRPr="00FE02D7">
        <w:rPr>
          <w:rFonts w:ascii="Times New Roman" w:hAnsi="Times New Roman"/>
          <w:i/>
          <w:iCs/>
        </w:rPr>
        <w:t xml:space="preserve"> </w:t>
      </w:r>
      <w:proofErr w:type="gramStart"/>
      <w:r w:rsidRPr="00FE02D7">
        <w:rPr>
          <w:rFonts w:ascii="Times New Roman" w:hAnsi="Times New Roman"/>
          <w:i/>
          <w:iCs/>
        </w:rPr>
        <w:t xml:space="preserve">in itself </w:t>
      </w:r>
      <w:r w:rsidRPr="00FE02D7">
        <w:rPr>
          <w:rFonts w:ascii="Times New Roman" w:hAnsi="Times New Roman"/>
        </w:rPr>
        <w:t>should</w:t>
      </w:r>
      <w:proofErr w:type="gramEnd"/>
      <w:r w:rsidRPr="00FE02D7">
        <w:rPr>
          <w:rFonts w:ascii="Times New Roman" w:hAnsi="Times New Roman"/>
        </w:rPr>
        <w:t xml:space="preserve"> confer the rights under that Title, including the right of equal treatment under Article 23 WA.</w:t>
      </w:r>
    </w:p>
    <w:p w14:paraId="76A72E33" w14:textId="77777777" w:rsidR="0051299C" w:rsidRPr="00FE02D7" w:rsidRDefault="00D22322" w:rsidP="007D2A00">
      <w:pPr>
        <w:pStyle w:val="ListParagraph"/>
        <w:numPr>
          <w:ilvl w:val="0"/>
          <w:numId w:val="1"/>
        </w:numPr>
        <w:spacing w:after="120"/>
        <w:contextualSpacing w:val="0"/>
        <w:jc w:val="both"/>
        <w:rPr>
          <w:rFonts w:ascii="Times New Roman" w:hAnsi="Times New Roman"/>
        </w:rPr>
      </w:pPr>
      <w:proofErr w:type="gramStart"/>
      <w:r w:rsidRPr="00FE02D7">
        <w:rPr>
          <w:rFonts w:ascii="Times New Roman" w:hAnsi="Times New Roman"/>
        </w:rPr>
        <w:t>If</w:t>
      </w:r>
      <w:proofErr w:type="gramEnd"/>
      <w:r w:rsidRPr="00FE02D7">
        <w:rPr>
          <w:rFonts w:ascii="Times New Roman" w:hAnsi="Times New Roman"/>
        </w:rPr>
        <w:t xml:space="preserve"> however, pre-settled status is not treated as equivalent to Article 13 WA status, because PSS holders have not met </w:t>
      </w:r>
      <w:r w:rsidR="0051299C" w:rsidRPr="00FE02D7">
        <w:rPr>
          <w:rFonts w:ascii="Times New Roman" w:hAnsi="Times New Roman"/>
        </w:rPr>
        <w:t xml:space="preserve">been required to meet </w:t>
      </w:r>
      <w:r w:rsidRPr="00FE02D7">
        <w:rPr>
          <w:rFonts w:ascii="Times New Roman" w:hAnsi="Times New Roman"/>
        </w:rPr>
        <w:t>the conditions of Art 13 WA</w:t>
      </w:r>
      <w:r w:rsidR="0051299C" w:rsidRPr="00FE02D7">
        <w:rPr>
          <w:rFonts w:ascii="Times New Roman" w:hAnsi="Times New Roman"/>
        </w:rPr>
        <w:t>, this begs two questions:</w:t>
      </w:r>
    </w:p>
    <w:p w14:paraId="7485A47D" w14:textId="2A00F8F6" w:rsidR="00A20D67" w:rsidRPr="007D2A00" w:rsidRDefault="0051299C" w:rsidP="007D2A00">
      <w:pPr>
        <w:pStyle w:val="ListParagraph"/>
        <w:numPr>
          <w:ilvl w:val="1"/>
          <w:numId w:val="1"/>
        </w:numPr>
        <w:spacing w:after="120"/>
        <w:ind w:left="1418" w:hanging="567"/>
        <w:contextualSpacing w:val="0"/>
        <w:jc w:val="both"/>
        <w:rPr>
          <w:rFonts w:ascii="Times New Roman" w:hAnsi="Times New Roman"/>
          <w:i/>
          <w:iCs/>
        </w:rPr>
      </w:pPr>
      <w:r w:rsidRPr="007D2A00">
        <w:rPr>
          <w:rFonts w:ascii="Times New Roman" w:hAnsi="Times New Roman"/>
          <w:i/>
          <w:iCs/>
        </w:rPr>
        <w:t xml:space="preserve">On what grounds has the UK imposed a constitutive scheme, with a cut-off deadline, if it is not </w:t>
      </w:r>
      <w:proofErr w:type="gramStart"/>
      <w:r w:rsidRPr="007D2A00">
        <w:rPr>
          <w:rFonts w:ascii="Times New Roman" w:hAnsi="Times New Roman"/>
          <w:i/>
          <w:iCs/>
        </w:rPr>
        <w:t>on the basis of</w:t>
      </w:r>
      <w:proofErr w:type="gramEnd"/>
      <w:r w:rsidRPr="007D2A00">
        <w:rPr>
          <w:rFonts w:ascii="Times New Roman" w:hAnsi="Times New Roman"/>
          <w:i/>
          <w:iCs/>
        </w:rPr>
        <w:t xml:space="preserve"> Article 18 WA? On what basis can/should people eligible for pre-settled status be obliged to register for it?</w:t>
      </w:r>
    </w:p>
    <w:p w14:paraId="0F7230AE" w14:textId="025BC3F9" w:rsidR="0051299C" w:rsidRPr="007D2A00" w:rsidRDefault="0051299C" w:rsidP="007D2A00">
      <w:pPr>
        <w:pStyle w:val="ListParagraph"/>
        <w:numPr>
          <w:ilvl w:val="1"/>
          <w:numId w:val="1"/>
        </w:numPr>
        <w:spacing w:after="120"/>
        <w:ind w:left="1418" w:hanging="567"/>
        <w:contextualSpacing w:val="0"/>
        <w:jc w:val="both"/>
        <w:rPr>
          <w:rFonts w:ascii="Times New Roman" w:hAnsi="Times New Roman"/>
          <w:i/>
          <w:iCs/>
        </w:rPr>
      </w:pPr>
      <w:r w:rsidRPr="007D2A00">
        <w:rPr>
          <w:rFonts w:ascii="Times New Roman" w:hAnsi="Times New Roman"/>
          <w:i/>
          <w:iCs/>
        </w:rPr>
        <w:t xml:space="preserve">What does count as an </w:t>
      </w:r>
      <w:proofErr w:type="gramStart"/>
      <w:r w:rsidRPr="007D2A00">
        <w:rPr>
          <w:rFonts w:ascii="Times New Roman" w:hAnsi="Times New Roman"/>
          <w:i/>
          <w:iCs/>
        </w:rPr>
        <w:t>Article</w:t>
      </w:r>
      <w:proofErr w:type="gramEnd"/>
      <w:r w:rsidRPr="007D2A00">
        <w:rPr>
          <w:rFonts w:ascii="Times New Roman" w:hAnsi="Times New Roman"/>
          <w:i/>
          <w:iCs/>
        </w:rPr>
        <w:t xml:space="preserve"> 13 WA status? How do holders show that they have it? How are pre-settled EU nationals who do meet the conditions of Art 13 WA distinguished from those who do not – and what status can they apply for, and what is corresponding document, under Art 18 WA that demonstrates that status?</w:t>
      </w:r>
    </w:p>
    <w:p w14:paraId="5FFD52E5" w14:textId="6D71C779" w:rsidR="00BC1F58" w:rsidRDefault="0051299C" w:rsidP="009433FA">
      <w:pPr>
        <w:pStyle w:val="ListParagraph"/>
        <w:numPr>
          <w:ilvl w:val="0"/>
          <w:numId w:val="1"/>
        </w:numPr>
        <w:spacing w:after="120"/>
        <w:contextualSpacing w:val="0"/>
        <w:jc w:val="both"/>
        <w:rPr>
          <w:rFonts w:ascii="Times New Roman" w:hAnsi="Times New Roman"/>
        </w:rPr>
      </w:pPr>
      <w:r w:rsidRPr="00FE02D7">
        <w:rPr>
          <w:rFonts w:ascii="Times New Roman" w:hAnsi="Times New Roman"/>
        </w:rPr>
        <w:t xml:space="preserve">In sum, the problem we are faced with is a regime that seeks to be </w:t>
      </w:r>
      <w:r w:rsidRPr="00FE02D7">
        <w:rPr>
          <w:rFonts w:ascii="Times New Roman" w:hAnsi="Times New Roman"/>
          <w:i/>
          <w:iCs/>
        </w:rPr>
        <w:t>constitutive</w:t>
      </w:r>
      <w:r w:rsidRPr="00FE02D7">
        <w:rPr>
          <w:rFonts w:ascii="Times New Roman" w:hAnsi="Times New Roman"/>
        </w:rPr>
        <w:t xml:space="preserve"> with regard to the application deadline, enabling the UK to disentitle long-term residents from rights to stay in the UK, regardless of meeting underlying conditions, but which seeks to be </w:t>
      </w:r>
      <w:r w:rsidRPr="00FE02D7">
        <w:rPr>
          <w:rFonts w:ascii="Times New Roman" w:hAnsi="Times New Roman"/>
          <w:i/>
          <w:iCs/>
        </w:rPr>
        <w:t>declaratory</w:t>
      </w:r>
      <w:r w:rsidRPr="00FE02D7">
        <w:rPr>
          <w:rFonts w:ascii="Times New Roman" w:hAnsi="Times New Roman"/>
        </w:rPr>
        <w:t xml:space="preserve"> when it comes to the rights that flow from that residence status – requiring not just the holding of a status, but the demonstration of continuing to meet </w:t>
      </w:r>
      <w:r w:rsidR="005D2400">
        <w:rPr>
          <w:rFonts w:ascii="Times New Roman" w:hAnsi="Times New Roman"/>
        </w:rPr>
        <w:t xml:space="preserve">a set of </w:t>
      </w:r>
      <w:r w:rsidRPr="00FE02D7">
        <w:rPr>
          <w:rFonts w:ascii="Times New Roman" w:hAnsi="Times New Roman"/>
        </w:rPr>
        <w:t>underlying conditions.</w:t>
      </w:r>
      <w:r w:rsidR="009433FA">
        <w:rPr>
          <w:rFonts w:ascii="Times New Roman" w:hAnsi="Times New Roman"/>
        </w:rPr>
        <w:t xml:space="preserve"> </w:t>
      </w:r>
      <w:r w:rsidRPr="009433FA">
        <w:rPr>
          <w:rFonts w:ascii="Times New Roman" w:hAnsi="Times New Roman"/>
        </w:rPr>
        <w:t xml:space="preserve">A close reading of Article 18 WA suggests instead that there is a trade-off in adopting a constitutive regime – it allows for more draconian exclusions, but </w:t>
      </w:r>
      <w:r w:rsidR="00FE02D7" w:rsidRPr="009433FA">
        <w:rPr>
          <w:rFonts w:ascii="Times New Roman" w:hAnsi="Times New Roman"/>
        </w:rPr>
        <w:t xml:space="preserve">inclusion </w:t>
      </w:r>
      <w:r w:rsidR="000B663E">
        <w:rPr>
          <w:rFonts w:ascii="Times New Roman" w:hAnsi="Times New Roman"/>
        </w:rPr>
        <w:t xml:space="preserve">must </w:t>
      </w:r>
      <w:r w:rsidR="00FE02D7" w:rsidRPr="009433FA">
        <w:rPr>
          <w:rFonts w:ascii="Times New Roman" w:hAnsi="Times New Roman"/>
        </w:rPr>
        <w:t>mean full inclusion.</w:t>
      </w:r>
    </w:p>
    <w:p w14:paraId="40FE70AE" w14:textId="7C35A9A2" w:rsidR="00730388" w:rsidRPr="00730388" w:rsidRDefault="00730388" w:rsidP="009433FA">
      <w:pPr>
        <w:pStyle w:val="ListParagraph"/>
        <w:numPr>
          <w:ilvl w:val="0"/>
          <w:numId w:val="1"/>
        </w:numPr>
        <w:spacing w:after="120"/>
        <w:contextualSpacing w:val="0"/>
        <w:jc w:val="both"/>
        <w:rPr>
          <w:rFonts w:ascii="Times New Roman" w:hAnsi="Times New Roman"/>
          <w:b/>
          <w:bCs/>
        </w:rPr>
      </w:pPr>
      <w:r w:rsidRPr="00730388">
        <w:rPr>
          <w:rFonts w:ascii="Times New Roman" w:hAnsi="Times New Roman"/>
          <w:b/>
          <w:bCs/>
        </w:rPr>
        <w:t xml:space="preserve">The government needs to formally decide whether pre-settled and settled status equate to temporary and permanent residence under the WA – and if not, to lay out its plans to comply with Article 18 WA.   </w:t>
      </w:r>
    </w:p>
    <w:p w14:paraId="27685440" w14:textId="7B68704B" w:rsidR="004C1C70" w:rsidRPr="000B663E" w:rsidRDefault="004E5DC1" w:rsidP="000B663E">
      <w:pPr>
        <w:pStyle w:val="ListParagraph"/>
        <w:numPr>
          <w:ilvl w:val="0"/>
          <w:numId w:val="1"/>
        </w:numPr>
        <w:spacing w:after="120"/>
        <w:contextualSpacing w:val="0"/>
        <w:jc w:val="both"/>
        <w:rPr>
          <w:rFonts w:ascii="Times New Roman" w:hAnsi="Times New Roman"/>
        </w:rPr>
      </w:pPr>
      <w:r>
        <w:rPr>
          <w:rFonts w:ascii="Times New Roman" w:hAnsi="Times New Roman"/>
        </w:rPr>
        <w:t>Finally, if people with pre-settled status do not, by virtue of that status alone, fall within the scope of Article 13 WA, it will be necessary to consider the effects of the broader personal scope of Article 10 WA</w:t>
      </w:r>
      <w:r w:rsidR="00730388">
        <w:rPr>
          <w:rFonts w:ascii="Times New Roman" w:hAnsi="Times New Roman"/>
        </w:rPr>
        <w:t>. This</w:t>
      </w:r>
      <w:r w:rsidR="000B663E">
        <w:rPr>
          <w:rFonts w:ascii="Times New Roman" w:hAnsi="Times New Roman"/>
        </w:rPr>
        <w:t xml:space="preserve"> </w:t>
      </w:r>
      <w:r w:rsidR="004C1C70" w:rsidRPr="000B663E">
        <w:rPr>
          <w:rFonts w:ascii="Times New Roman" w:hAnsi="Times New Roman"/>
        </w:rPr>
        <w:t>confer</w:t>
      </w:r>
      <w:r w:rsidR="00730388">
        <w:rPr>
          <w:rFonts w:ascii="Times New Roman" w:hAnsi="Times New Roman"/>
        </w:rPr>
        <w:t>s</w:t>
      </w:r>
      <w:r w:rsidR="004C1C70" w:rsidRPr="000B663E">
        <w:rPr>
          <w:rFonts w:ascii="Times New Roman" w:hAnsi="Times New Roman"/>
        </w:rPr>
        <w:t xml:space="preserve"> </w:t>
      </w:r>
      <w:r w:rsidR="00730388">
        <w:rPr>
          <w:rFonts w:ascii="Times New Roman" w:hAnsi="Times New Roman"/>
        </w:rPr>
        <w:t xml:space="preserve">Part II </w:t>
      </w:r>
      <w:r w:rsidR="004C1C70" w:rsidRPr="000B663E">
        <w:rPr>
          <w:rFonts w:ascii="Times New Roman" w:hAnsi="Times New Roman"/>
        </w:rPr>
        <w:t xml:space="preserve">rights upon “Union citizens who exercised their right to reside in the United Kingdom in accordance with Union law before the end of the transition period and continue to reside there thereafter”. It does </w:t>
      </w:r>
      <w:r w:rsidR="004C1C70" w:rsidRPr="000B663E">
        <w:rPr>
          <w:rFonts w:ascii="Times New Roman" w:hAnsi="Times New Roman"/>
          <w:i/>
          <w:iCs/>
        </w:rPr>
        <w:t>not</w:t>
      </w:r>
      <w:r w:rsidR="004C1C70" w:rsidRPr="000B663E">
        <w:rPr>
          <w:rFonts w:ascii="Times New Roman" w:hAnsi="Times New Roman"/>
        </w:rPr>
        <w:t xml:space="preserve"> require that they “continue to reside </w:t>
      </w:r>
      <w:r w:rsidR="004C1C70" w:rsidRPr="000B663E">
        <w:rPr>
          <w:rFonts w:ascii="Times New Roman" w:hAnsi="Times New Roman"/>
          <w:i/>
          <w:iCs/>
        </w:rPr>
        <w:t>in accordance with Union</w:t>
      </w:r>
      <w:r w:rsidR="004C1C70" w:rsidRPr="000B663E">
        <w:rPr>
          <w:rFonts w:ascii="Times New Roman" w:hAnsi="Times New Roman"/>
        </w:rPr>
        <w:t xml:space="preserve"> law”. Nor does it stipulate th</w:t>
      </w:r>
      <w:r w:rsidR="00730388">
        <w:rPr>
          <w:rFonts w:ascii="Times New Roman" w:hAnsi="Times New Roman"/>
        </w:rPr>
        <w:t xml:space="preserve">e </w:t>
      </w:r>
      <w:r w:rsidR="004C1C70" w:rsidRPr="000B663E">
        <w:rPr>
          <w:rFonts w:ascii="Times New Roman" w:hAnsi="Times New Roman"/>
        </w:rPr>
        <w:t>exercis</w:t>
      </w:r>
      <w:r w:rsidR="00730388">
        <w:rPr>
          <w:rFonts w:ascii="Times New Roman" w:hAnsi="Times New Roman"/>
        </w:rPr>
        <w:t>e of</w:t>
      </w:r>
      <w:r w:rsidR="004C1C70" w:rsidRPr="000B663E">
        <w:rPr>
          <w:rFonts w:ascii="Times New Roman" w:hAnsi="Times New Roman"/>
        </w:rPr>
        <w:t xml:space="preserve"> a Union law right to reside “up until the end” of transition, or “immediately before” the end of transition. It could include people who exercised their </w:t>
      </w:r>
      <w:proofErr w:type="gramStart"/>
      <w:r w:rsidR="004C1C70" w:rsidRPr="000B663E">
        <w:rPr>
          <w:rFonts w:ascii="Times New Roman" w:hAnsi="Times New Roman"/>
        </w:rPr>
        <w:t>Article</w:t>
      </w:r>
      <w:proofErr w:type="gramEnd"/>
      <w:r w:rsidR="004C1C70" w:rsidRPr="000B663E">
        <w:rPr>
          <w:rFonts w:ascii="Times New Roman" w:hAnsi="Times New Roman"/>
        </w:rPr>
        <w:t xml:space="preserve"> 6 Directive 2004/38 right to reside in the UK without conditions for three months</w:t>
      </w:r>
      <w:r w:rsidR="00EA0313" w:rsidRPr="000B663E">
        <w:rPr>
          <w:rFonts w:ascii="Times New Roman" w:hAnsi="Times New Roman"/>
        </w:rPr>
        <w:t xml:space="preserve"> at some point before the end of transition, and continued to reside </w:t>
      </w:r>
      <w:r w:rsidR="005D2400" w:rsidRPr="000B663E">
        <w:rPr>
          <w:rFonts w:ascii="Times New Roman" w:hAnsi="Times New Roman"/>
        </w:rPr>
        <w:t xml:space="preserve">there </w:t>
      </w:r>
      <w:r w:rsidR="00EA0313" w:rsidRPr="000B663E">
        <w:rPr>
          <w:rFonts w:ascii="Times New Roman" w:hAnsi="Times New Roman"/>
        </w:rPr>
        <w:t xml:space="preserve">thereafter. </w:t>
      </w:r>
    </w:p>
    <w:p w14:paraId="3B7B2072" w14:textId="3A733412" w:rsidR="00EA0313" w:rsidRPr="00EA0313" w:rsidRDefault="003245E9" w:rsidP="00EA0313">
      <w:pPr>
        <w:pStyle w:val="ListParagraph"/>
        <w:numPr>
          <w:ilvl w:val="0"/>
          <w:numId w:val="1"/>
        </w:numPr>
        <w:spacing w:after="120"/>
        <w:contextualSpacing w:val="0"/>
        <w:jc w:val="both"/>
        <w:rPr>
          <w:rFonts w:ascii="Times New Roman" w:hAnsi="Times New Roman"/>
        </w:rPr>
      </w:pPr>
      <w:r>
        <w:rPr>
          <w:rFonts w:ascii="Times New Roman" w:hAnsi="Times New Roman"/>
        </w:rPr>
        <w:t xml:space="preserve">Once </w:t>
      </w:r>
      <w:r w:rsidR="00EA0313">
        <w:rPr>
          <w:rFonts w:ascii="Times New Roman" w:hAnsi="Times New Roman"/>
        </w:rPr>
        <w:t xml:space="preserve">within the scope of Article 10 WA </w:t>
      </w:r>
      <w:r>
        <w:rPr>
          <w:rFonts w:ascii="Times New Roman" w:hAnsi="Times New Roman"/>
        </w:rPr>
        <w:t xml:space="preserve">it is possible to explore </w:t>
      </w:r>
      <w:r w:rsidR="00EA0313">
        <w:rPr>
          <w:rFonts w:ascii="Times New Roman" w:hAnsi="Times New Roman"/>
        </w:rPr>
        <w:t xml:space="preserve">the effect of Article 12 WA, which reproduces the </w:t>
      </w:r>
      <w:r w:rsidR="00730388">
        <w:rPr>
          <w:rFonts w:ascii="Times New Roman" w:hAnsi="Times New Roman"/>
        </w:rPr>
        <w:t xml:space="preserve">equal treatment right </w:t>
      </w:r>
      <w:r w:rsidR="00EA0313">
        <w:rPr>
          <w:rFonts w:ascii="Times New Roman" w:hAnsi="Times New Roman"/>
        </w:rPr>
        <w:t xml:space="preserve">contained in Article 18 TFEU. </w:t>
      </w:r>
      <w:r w:rsidR="003A1B3D">
        <w:rPr>
          <w:rFonts w:ascii="Times New Roman" w:hAnsi="Times New Roman"/>
        </w:rPr>
        <w:t>In</w:t>
      </w:r>
      <w:r w:rsidR="00EA0313">
        <w:rPr>
          <w:rFonts w:ascii="Times New Roman" w:hAnsi="Times New Roman"/>
        </w:rPr>
        <w:t xml:space="preserve"> </w:t>
      </w:r>
      <w:r w:rsidR="00EA0313">
        <w:rPr>
          <w:rFonts w:ascii="Times New Roman" w:hAnsi="Times New Roman"/>
          <w:i/>
          <w:iCs/>
        </w:rPr>
        <w:t>CG</w:t>
      </w:r>
      <w:r w:rsidR="00EA0313">
        <w:rPr>
          <w:rFonts w:ascii="Times New Roman" w:hAnsi="Times New Roman"/>
        </w:rPr>
        <w:t>, t</w:t>
      </w:r>
      <w:r w:rsidR="003A1B3D">
        <w:rPr>
          <w:rFonts w:ascii="Times New Roman" w:hAnsi="Times New Roman"/>
        </w:rPr>
        <w:t>he CJEU suggested that Article 18 TFEU was supplanted by Article 24 of Directive 2004/38 where there had been movement between states. However, given the WA</w:t>
      </w:r>
      <w:r w:rsidR="003A1B3D" w:rsidRPr="003A1B3D">
        <w:rPr>
          <w:rFonts w:ascii="Times New Roman" w:hAnsi="Times New Roman"/>
          <w:i/>
          <w:iCs/>
        </w:rPr>
        <w:t xml:space="preserve"> only</w:t>
      </w:r>
      <w:r w:rsidR="003A1B3D">
        <w:rPr>
          <w:rFonts w:ascii="Times New Roman" w:hAnsi="Times New Roman"/>
        </w:rPr>
        <w:t xml:space="preserve"> applies where there has been such movement, a similar dismissal of Article 12 WA </w:t>
      </w:r>
      <w:r w:rsidR="00730388">
        <w:rPr>
          <w:rFonts w:ascii="Times New Roman" w:hAnsi="Times New Roman"/>
        </w:rPr>
        <w:t xml:space="preserve">would mean that </w:t>
      </w:r>
      <w:r w:rsidR="00730388" w:rsidRPr="00730388">
        <w:rPr>
          <w:rFonts w:ascii="Times New Roman" w:hAnsi="Times New Roman"/>
          <w:b/>
          <w:bCs/>
        </w:rPr>
        <w:t xml:space="preserve">we need guidance </w:t>
      </w:r>
      <w:r w:rsidR="00EA0313" w:rsidRPr="00730388">
        <w:rPr>
          <w:rFonts w:ascii="Times New Roman" w:hAnsi="Times New Roman"/>
          <w:b/>
          <w:bCs/>
        </w:rPr>
        <w:t xml:space="preserve">as to when, if ever, </w:t>
      </w:r>
      <w:r w:rsidR="003A1B3D" w:rsidRPr="00730388">
        <w:rPr>
          <w:rFonts w:ascii="Times New Roman" w:hAnsi="Times New Roman"/>
          <w:b/>
          <w:bCs/>
        </w:rPr>
        <w:t xml:space="preserve">the non-discrimination provision of </w:t>
      </w:r>
      <w:r w:rsidR="00EA0313" w:rsidRPr="00730388">
        <w:rPr>
          <w:rFonts w:ascii="Times New Roman" w:hAnsi="Times New Roman"/>
          <w:b/>
          <w:bCs/>
        </w:rPr>
        <w:t>Article 12 WA would apply.</w:t>
      </w:r>
      <w:r w:rsidR="00EA0313">
        <w:rPr>
          <w:rFonts w:ascii="Times New Roman" w:hAnsi="Times New Roman"/>
        </w:rPr>
        <w:t xml:space="preserve"> </w:t>
      </w:r>
    </w:p>
    <w:p w14:paraId="3B618BDB" w14:textId="0A114C51" w:rsidR="004C1C70" w:rsidRPr="0011401F" w:rsidRDefault="004C1C70" w:rsidP="004C1C70">
      <w:pPr>
        <w:pStyle w:val="ListParagraph"/>
        <w:spacing w:after="120"/>
        <w:ind w:left="360"/>
        <w:contextualSpacing w:val="0"/>
        <w:jc w:val="both"/>
        <w:rPr>
          <w:rFonts w:ascii="Times New Roman" w:hAnsi="Times New Roman"/>
          <w:i/>
          <w:iCs/>
        </w:rPr>
      </w:pPr>
    </w:p>
    <w:p w14:paraId="54A962A4" w14:textId="264F3D37" w:rsidR="00B52043" w:rsidRPr="0011401F" w:rsidRDefault="00B52043" w:rsidP="00B52043">
      <w:pPr>
        <w:pStyle w:val="ListParagraph"/>
        <w:spacing w:after="120"/>
        <w:ind w:left="360"/>
        <w:contextualSpacing w:val="0"/>
        <w:jc w:val="right"/>
        <w:rPr>
          <w:rFonts w:ascii="Times New Roman" w:hAnsi="Times New Roman"/>
          <w:i/>
          <w:iCs/>
        </w:rPr>
      </w:pPr>
      <w:r w:rsidRPr="0011401F">
        <w:rPr>
          <w:rFonts w:ascii="Times New Roman" w:hAnsi="Times New Roman"/>
          <w:i/>
          <w:iCs/>
        </w:rPr>
        <w:t>Professor Charlotte O’Brien</w:t>
      </w:r>
    </w:p>
    <w:sectPr w:rsidR="00B52043" w:rsidRPr="0011401F" w:rsidSect="007D2A00">
      <w:headerReference w:type="default" r:id="rId7"/>
      <w:pgSz w:w="11900" w:h="16840"/>
      <w:pgMar w:top="-1692" w:right="1105" w:bottom="796" w:left="1014" w:header="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A0D4" w14:textId="77777777" w:rsidR="007A2954" w:rsidRDefault="007A2954" w:rsidP="00A20D67">
      <w:r>
        <w:separator/>
      </w:r>
    </w:p>
  </w:endnote>
  <w:endnote w:type="continuationSeparator" w:id="0">
    <w:p w14:paraId="4EA45439" w14:textId="77777777" w:rsidR="007A2954" w:rsidRDefault="007A2954" w:rsidP="00A2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CF2D" w14:textId="77777777" w:rsidR="007A2954" w:rsidRDefault="007A2954" w:rsidP="00A20D67">
      <w:r>
        <w:separator/>
      </w:r>
    </w:p>
  </w:footnote>
  <w:footnote w:type="continuationSeparator" w:id="0">
    <w:p w14:paraId="091F0CA9" w14:textId="77777777" w:rsidR="007A2954" w:rsidRDefault="007A2954" w:rsidP="00A20D67">
      <w:r>
        <w:continuationSeparator/>
      </w:r>
    </w:p>
  </w:footnote>
  <w:footnote w:id="1">
    <w:p w14:paraId="78AFF341" w14:textId="77777777" w:rsidR="007D2A00" w:rsidRDefault="007D2A00" w:rsidP="007D2A00">
      <w:pPr>
        <w:pStyle w:val="FootnoteText"/>
      </w:pPr>
      <w:r>
        <w:rPr>
          <w:rStyle w:val="FootnoteReference"/>
        </w:rPr>
        <w:footnoteRef/>
      </w:r>
      <w:r>
        <w:t xml:space="preserve"> </w:t>
      </w:r>
      <w:r w:rsidRPr="00A20D67">
        <w:t>https://www.compas.ox.ac.uk/wp-content/uploads/PR-2015-No_Recourse_Public_Funds_LAs.pdf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67EF" w14:textId="2C42F7D9" w:rsidR="00FE02D7" w:rsidRDefault="00FE02D7" w:rsidP="00FE02D7">
    <w:pPr>
      <w:pStyle w:val="Header"/>
      <w:jc w:val="center"/>
    </w:pPr>
    <w:r>
      <w:rPr>
        <w:noProof/>
      </w:rPr>
      <w:drawing>
        <wp:inline distT="0" distB="0" distL="0" distR="0" wp14:anchorId="202B0AFD" wp14:editId="15362EC6">
          <wp:extent cx="3817257" cy="968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051068" cy="10275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60BF1"/>
    <w:multiLevelType w:val="multilevel"/>
    <w:tmpl w:val="0409001F"/>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19"/>
    <w:rsid w:val="000A222F"/>
    <w:rsid w:val="000B4888"/>
    <w:rsid w:val="000B663E"/>
    <w:rsid w:val="0011401F"/>
    <w:rsid w:val="001513D2"/>
    <w:rsid w:val="001A069D"/>
    <w:rsid w:val="001C644E"/>
    <w:rsid w:val="001E7352"/>
    <w:rsid w:val="002627EB"/>
    <w:rsid w:val="00295E0D"/>
    <w:rsid w:val="002A0422"/>
    <w:rsid w:val="003245E9"/>
    <w:rsid w:val="003746E6"/>
    <w:rsid w:val="003A1B3D"/>
    <w:rsid w:val="00495F64"/>
    <w:rsid w:val="004B6A7D"/>
    <w:rsid w:val="004C1C70"/>
    <w:rsid w:val="004E5DC1"/>
    <w:rsid w:val="0051299C"/>
    <w:rsid w:val="00527FE1"/>
    <w:rsid w:val="005560AC"/>
    <w:rsid w:val="00572C4E"/>
    <w:rsid w:val="005A2F67"/>
    <w:rsid w:val="005D2400"/>
    <w:rsid w:val="005D5847"/>
    <w:rsid w:val="00615638"/>
    <w:rsid w:val="00730388"/>
    <w:rsid w:val="0076291E"/>
    <w:rsid w:val="007A2954"/>
    <w:rsid w:val="007C4CE8"/>
    <w:rsid w:val="007D2A00"/>
    <w:rsid w:val="00883107"/>
    <w:rsid w:val="008A3719"/>
    <w:rsid w:val="0094085E"/>
    <w:rsid w:val="009433FA"/>
    <w:rsid w:val="00A20D67"/>
    <w:rsid w:val="00A5057C"/>
    <w:rsid w:val="00AC2918"/>
    <w:rsid w:val="00B42CFD"/>
    <w:rsid w:val="00B52043"/>
    <w:rsid w:val="00BC1F58"/>
    <w:rsid w:val="00C03136"/>
    <w:rsid w:val="00D22322"/>
    <w:rsid w:val="00D7230B"/>
    <w:rsid w:val="00DA3DE2"/>
    <w:rsid w:val="00DC465E"/>
    <w:rsid w:val="00EA0313"/>
    <w:rsid w:val="00FC70CA"/>
    <w:rsid w:val="00FD18D0"/>
    <w:rsid w:val="00FE0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9BCD"/>
  <w15:docId w15:val="{FD1A109D-DA77-5943-8D69-44791CCC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9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91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057C"/>
    <w:pPr>
      <w:ind w:left="720"/>
      <w:contextualSpacing/>
    </w:pPr>
  </w:style>
  <w:style w:type="character" w:styleId="Hyperlink">
    <w:name w:val="Hyperlink"/>
    <w:basedOn w:val="DefaultParagraphFont"/>
    <w:uiPriority w:val="99"/>
    <w:unhideWhenUsed/>
    <w:rsid w:val="00A20D67"/>
    <w:rPr>
      <w:color w:val="0563C1" w:themeColor="hyperlink"/>
      <w:u w:val="single"/>
    </w:rPr>
  </w:style>
  <w:style w:type="character" w:styleId="UnresolvedMention">
    <w:name w:val="Unresolved Mention"/>
    <w:basedOn w:val="DefaultParagraphFont"/>
    <w:uiPriority w:val="99"/>
    <w:semiHidden/>
    <w:unhideWhenUsed/>
    <w:rsid w:val="00A20D67"/>
    <w:rPr>
      <w:color w:val="605E5C"/>
      <w:shd w:val="clear" w:color="auto" w:fill="E1DFDD"/>
    </w:rPr>
  </w:style>
  <w:style w:type="character" w:styleId="FollowedHyperlink">
    <w:name w:val="FollowedHyperlink"/>
    <w:basedOn w:val="DefaultParagraphFont"/>
    <w:uiPriority w:val="99"/>
    <w:semiHidden/>
    <w:unhideWhenUsed/>
    <w:rsid w:val="00A20D67"/>
    <w:rPr>
      <w:color w:val="954F72" w:themeColor="followedHyperlink"/>
      <w:u w:val="single"/>
    </w:rPr>
  </w:style>
  <w:style w:type="paragraph" w:styleId="FootnoteText">
    <w:name w:val="footnote text"/>
    <w:basedOn w:val="Normal"/>
    <w:link w:val="FootnoteTextChar"/>
    <w:uiPriority w:val="99"/>
    <w:semiHidden/>
    <w:unhideWhenUsed/>
    <w:rsid w:val="00A20D67"/>
    <w:rPr>
      <w:sz w:val="20"/>
      <w:szCs w:val="20"/>
    </w:rPr>
  </w:style>
  <w:style w:type="character" w:customStyle="1" w:styleId="FootnoteTextChar">
    <w:name w:val="Footnote Text Char"/>
    <w:basedOn w:val="DefaultParagraphFont"/>
    <w:link w:val="FootnoteText"/>
    <w:uiPriority w:val="99"/>
    <w:semiHidden/>
    <w:rsid w:val="00A20D67"/>
    <w:rPr>
      <w:sz w:val="20"/>
      <w:szCs w:val="20"/>
    </w:rPr>
  </w:style>
  <w:style w:type="character" w:styleId="FootnoteReference">
    <w:name w:val="footnote reference"/>
    <w:basedOn w:val="DefaultParagraphFont"/>
    <w:uiPriority w:val="99"/>
    <w:semiHidden/>
    <w:unhideWhenUsed/>
    <w:rsid w:val="00A20D67"/>
    <w:rPr>
      <w:vertAlign w:val="superscript"/>
    </w:rPr>
  </w:style>
  <w:style w:type="paragraph" w:styleId="Header">
    <w:name w:val="header"/>
    <w:basedOn w:val="Normal"/>
    <w:link w:val="HeaderChar"/>
    <w:uiPriority w:val="99"/>
    <w:unhideWhenUsed/>
    <w:rsid w:val="00FE02D7"/>
    <w:pPr>
      <w:tabs>
        <w:tab w:val="center" w:pos="4680"/>
        <w:tab w:val="right" w:pos="9360"/>
      </w:tabs>
    </w:pPr>
  </w:style>
  <w:style w:type="character" w:customStyle="1" w:styleId="HeaderChar">
    <w:name w:val="Header Char"/>
    <w:basedOn w:val="DefaultParagraphFont"/>
    <w:link w:val="Header"/>
    <w:uiPriority w:val="99"/>
    <w:rsid w:val="00FE02D7"/>
  </w:style>
  <w:style w:type="paragraph" w:styleId="Footer">
    <w:name w:val="footer"/>
    <w:basedOn w:val="Normal"/>
    <w:link w:val="FooterChar"/>
    <w:uiPriority w:val="99"/>
    <w:unhideWhenUsed/>
    <w:rsid w:val="00FE02D7"/>
    <w:pPr>
      <w:tabs>
        <w:tab w:val="center" w:pos="4680"/>
        <w:tab w:val="right" w:pos="9360"/>
      </w:tabs>
    </w:pPr>
  </w:style>
  <w:style w:type="character" w:customStyle="1" w:styleId="FooterChar">
    <w:name w:val="Footer Char"/>
    <w:basedOn w:val="DefaultParagraphFont"/>
    <w:link w:val="Footer"/>
    <w:uiPriority w:val="99"/>
    <w:rsid w:val="00FE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2037">
      <w:bodyDiv w:val="1"/>
      <w:marLeft w:val="0"/>
      <w:marRight w:val="0"/>
      <w:marTop w:val="0"/>
      <w:marBottom w:val="0"/>
      <w:divBdr>
        <w:top w:val="none" w:sz="0" w:space="0" w:color="auto"/>
        <w:left w:val="none" w:sz="0" w:space="0" w:color="auto"/>
        <w:bottom w:val="none" w:sz="0" w:space="0" w:color="auto"/>
        <w:right w:val="none" w:sz="0" w:space="0" w:color="auto"/>
      </w:divBdr>
    </w:div>
    <w:div w:id="308872791">
      <w:bodyDiv w:val="1"/>
      <w:marLeft w:val="0"/>
      <w:marRight w:val="0"/>
      <w:marTop w:val="0"/>
      <w:marBottom w:val="0"/>
      <w:divBdr>
        <w:top w:val="none" w:sz="0" w:space="0" w:color="auto"/>
        <w:left w:val="none" w:sz="0" w:space="0" w:color="auto"/>
        <w:bottom w:val="none" w:sz="0" w:space="0" w:color="auto"/>
        <w:right w:val="none" w:sz="0" w:space="0" w:color="auto"/>
      </w:divBdr>
    </w:div>
    <w:div w:id="378431992">
      <w:bodyDiv w:val="1"/>
      <w:marLeft w:val="0"/>
      <w:marRight w:val="0"/>
      <w:marTop w:val="0"/>
      <w:marBottom w:val="0"/>
      <w:divBdr>
        <w:top w:val="none" w:sz="0" w:space="0" w:color="auto"/>
        <w:left w:val="none" w:sz="0" w:space="0" w:color="auto"/>
        <w:bottom w:val="none" w:sz="0" w:space="0" w:color="auto"/>
        <w:right w:val="none" w:sz="0" w:space="0" w:color="auto"/>
      </w:divBdr>
    </w:div>
    <w:div w:id="590283270">
      <w:bodyDiv w:val="1"/>
      <w:marLeft w:val="0"/>
      <w:marRight w:val="0"/>
      <w:marTop w:val="0"/>
      <w:marBottom w:val="0"/>
      <w:divBdr>
        <w:top w:val="none" w:sz="0" w:space="0" w:color="auto"/>
        <w:left w:val="none" w:sz="0" w:space="0" w:color="auto"/>
        <w:bottom w:val="none" w:sz="0" w:space="0" w:color="auto"/>
        <w:right w:val="none" w:sz="0" w:space="0" w:color="auto"/>
      </w:divBdr>
    </w:div>
    <w:div w:id="687753288">
      <w:bodyDiv w:val="1"/>
      <w:marLeft w:val="0"/>
      <w:marRight w:val="0"/>
      <w:marTop w:val="0"/>
      <w:marBottom w:val="0"/>
      <w:divBdr>
        <w:top w:val="none" w:sz="0" w:space="0" w:color="auto"/>
        <w:left w:val="none" w:sz="0" w:space="0" w:color="auto"/>
        <w:bottom w:val="none" w:sz="0" w:space="0" w:color="auto"/>
        <w:right w:val="none" w:sz="0" w:space="0" w:color="auto"/>
      </w:divBdr>
    </w:div>
    <w:div w:id="696005252">
      <w:bodyDiv w:val="1"/>
      <w:marLeft w:val="0"/>
      <w:marRight w:val="0"/>
      <w:marTop w:val="0"/>
      <w:marBottom w:val="0"/>
      <w:divBdr>
        <w:top w:val="none" w:sz="0" w:space="0" w:color="auto"/>
        <w:left w:val="none" w:sz="0" w:space="0" w:color="auto"/>
        <w:bottom w:val="none" w:sz="0" w:space="0" w:color="auto"/>
        <w:right w:val="none" w:sz="0" w:space="0" w:color="auto"/>
      </w:divBdr>
    </w:div>
    <w:div w:id="929656109">
      <w:bodyDiv w:val="1"/>
      <w:marLeft w:val="0"/>
      <w:marRight w:val="0"/>
      <w:marTop w:val="0"/>
      <w:marBottom w:val="0"/>
      <w:divBdr>
        <w:top w:val="none" w:sz="0" w:space="0" w:color="auto"/>
        <w:left w:val="none" w:sz="0" w:space="0" w:color="auto"/>
        <w:bottom w:val="none" w:sz="0" w:space="0" w:color="auto"/>
        <w:right w:val="none" w:sz="0" w:space="0" w:color="auto"/>
      </w:divBdr>
    </w:div>
    <w:div w:id="1022786633">
      <w:bodyDiv w:val="1"/>
      <w:marLeft w:val="0"/>
      <w:marRight w:val="0"/>
      <w:marTop w:val="0"/>
      <w:marBottom w:val="0"/>
      <w:divBdr>
        <w:top w:val="none" w:sz="0" w:space="0" w:color="auto"/>
        <w:left w:val="none" w:sz="0" w:space="0" w:color="auto"/>
        <w:bottom w:val="none" w:sz="0" w:space="0" w:color="auto"/>
        <w:right w:val="none" w:sz="0" w:space="0" w:color="auto"/>
      </w:divBdr>
    </w:div>
    <w:div w:id="1133064090">
      <w:bodyDiv w:val="1"/>
      <w:marLeft w:val="0"/>
      <w:marRight w:val="0"/>
      <w:marTop w:val="0"/>
      <w:marBottom w:val="0"/>
      <w:divBdr>
        <w:top w:val="none" w:sz="0" w:space="0" w:color="auto"/>
        <w:left w:val="none" w:sz="0" w:space="0" w:color="auto"/>
        <w:bottom w:val="none" w:sz="0" w:space="0" w:color="auto"/>
        <w:right w:val="none" w:sz="0" w:space="0" w:color="auto"/>
      </w:divBdr>
    </w:div>
    <w:div w:id="1134835699">
      <w:bodyDiv w:val="1"/>
      <w:marLeft w:val="0"/>
      <w:marRight w:val="0"/>
      <w:marTop w:val="0"/>
      <w:marBottom w:val="0"/>
      <w:divBdr>
        <w:top w:val="none" w:sz="0" w:space="0" w:color="auto"/>
        <w:left w:val="none" w:sz="0" w:space="0" w:color="auto"/>
        <w:bottom w:val="none" w:sz="0" w:space="0" w:color="auto"/>
        <w:right w:val="none" w:sz="0" w:space="0" w:color="auto"/>
      </w:divBdr>
    </w:div>
    <w:div w:id="1308391746">
      <w:bodyDiv w:val="1"/>
      <w:marLeft w:val="0"/>
      <w:marRight w:val="0"/>
      <w:marTop w:val="0"/>
      <w:marBottom w:val="0"/>
      <w:divBdr>
        <w:top w:val="none" w:sz="0" w:space="0" w:color="auto"/>
        <w:left w:val="none" w:sz="0" w:space="0" w:color="auto"/>
        <w:bottom w:val="none" w:sz="0" w:space="0" w:color="auto"/>
        <w:right w:val="none" w:sz="0" w:space="0" w:color="auto"/>
      </w:divBdr>
    </w:div>
    <w:div w:id="1400129794">
      <w:bodyDiv w:val="1"/>
      <w:marLeft w:val="0"/>
      <w:marRight w:val="0"/>
      <w:marTop w:val="0"/>
      <w:marBottom w:val="0"/>
      <w:divBdr>
        <w:top w:val="none" w:sz="0" w:space="0" w:color="auto"/>
        <w:left w:val="none" w:sz="0" w:space="0" w:color="auto"/>
        <w:bottom w:val="none" w:sz="0" w:space="0" w:color="auto"/>
        <w:right w:val="none" w:sz="0" w:space="0" w:color="auto"/>
      </w:divBdr>
    </w:div>
    <w:div w:id="1474443352">
      <w:bodyDiv w:val="1"/>
      <w:marLeft w:val="0"/>
      <w:marRight w:val="0"/>
      <w:marTop w:val="0"/>
      <w:marBottom w:val="0"/>
      <w:divBdr>
        <w:top w:val="none" w:sz="0" w:space="0" w:color="auto"/>
        <w:left w:val="none" w:sz="0" w:space="0" w:color="auto"/>
        <w:bottom w:val="none" w:sz="0" w:space="0" w:color="auto"/>
        <w:right w:val="none" w:sz="0" w:space="0" w:color="auto"/>
      </w:divBdr>
    </w:div>
    <w:div w:id="1544757349">
      <w:bodyDiv w:val="1"/>
      <w:marLeft w:val="0"/>
      <w:marRight w:val="0"/>
      <w:marTop w:val="0"/>
      <w:marBottom w:val="0"/>
      <w:divBdr>
        <w:top w:val="none" w:sz="0" w:space="0" w:color="auto"/>
        <w:left w:val="none" w:sz="0" w:space="0" w:color="auto"/>
        <w:bottom w:val="none" w:sz="0" w:space="0" w:color="auto"/>
        <w:right w:val="none" w:sz="0" w:space="0" w:color="auto"/>
      </w:divBdr>
    </w:div>
    <w:div w:id="1563978137">
      <w:bodyDiv w:val="1"/>
      <w:marLeft w:val="0"/>
      <w:marRight w:val="0"/>
      <w:marTop w:val="0"/>
      <w:marBottom w:val="0"/>
      <w:divBdr>
        <w:top w:val="none" w:sz="0" w:space="0" w:color="auto"/>
        <w:left w:val="none" w:sz="0" w:space="0" w:color="auto"/>
        <w:bottom w:val="none" w:sz="0" w:space="0" w:color="auto"/>
        <w:right w:val="none" w:sz="0" w:space="0" w:color="auto"/>
      </w:divBdr>
    </w:div>
    <w:div w:id="1564869900">
      <w:bodyDiv w:val="1"/>
      <w:marLeft w:val="0"/>
      <w:marRight w:val="0"/>
      <w:marTop w:val="0"/>
      <w:marBottom w:val="0"/>
      <w:divBdr>
        <w:top w:val="none" w:sz="0" w:space="0" w:color="auto"/>
        <w:left w:val="none" w:sz="0" w:space="0" w:color="auto"/>
        <w:bottom w:val="none" w:sz="0" w:space="0" w:color="auto"/>
        <w:right w:val="none" w:sz="0" w:space="0" w:color="auto"/>
      </w:divBdr>
      <w:divsChild>
        <w:div w:id="715473260">
          <w:marLeft w:val="0"/>
          <w:marRight w:val="0"/>
          <w:marTop w:val="0"/>
          <w:marBottom w:val="0"/>
          <w:divBdr>
            <w:top w:val="none" w:sz="0" w:space="0" w:color="auto"/>
            <w:left w:val="none" w:sz="0" w:space="0" w:color="auto"/>
            <w:bottom w:val="none" w:sz="0" w:space="0" w:color="auto"/>
            <w:right w:val="none" w:sz="0" w:space="0" w:color="auto"/>
          </w:divBdr>
          <w:divsChild>
            <w:div w:id="1049501729">
              <w:marLeft w:val="0"/>
              <w:marRight w:val="0"/>
              <w:marTop w:val="0"/>
              <w:marBottom w:val="0"/>
              <w:divBdr>
                <w:top w:val="none" w:sz="0" w:space="0" w:color="auto"/>
                <w:left w:val="none" w:sz="0" w:space="0" w:color="auto"/>
                <w:bottom w:val="none" w:sz="0" w:space="0" w:color="auto"/>
                <w:right w:val="none" w:sz="0" w:space="0" w:color="auto"/>
              </w:divBdr>
              <w:divsChild>
                <w:div w:id="568736267">
                  <w:marLeft w:val="0"/>
                  <w:marRight w:val="0"/>
                  <w:marTop w:val="0"/>
                  <w:marBottom w:val="240"/>
                  <w:divBdr>
                    <w:top w:val="none" w:sz="0" w:space="0" w:color="auto"/>
                    <w:left w:val="none" w:sz="0" w:space="0" w:color="auto"/>
                    <w:bottom w:val="none" w:sz="0" w:space="0" w:color="auto"/>
                    <w:right w:val="none" w:sz="0" w:space="0" w:color="auto"/>
                  </w:divBdr>
                  <w:divsChild>
                    <w:div w:id="5143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9823">
      <w:bodyDiv w:val="1"/>
      <w:marLeft w:val="0"/>
      <w:marRight w:val="0"/>
      <w:marTop w:val="0"/>
      <w:marBottom w:val="0"/>
      <w:divBdr>
        <w:top w:val="none" w:sz="0" w:space="0" w:color="auto"/>
        <w:left w:val="none" w:sz="0" w:space="0" w:color="auto"/>
        <w:bottom w:val="none" w:sz="0" w:space="0" w:color="auto"/>
        <w:right w:val="none" w:sz="0" w:space="0" w:color="auto"/>
      </w:divBdr>
    </w:div>
    <w:div w:id="2084523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2520</Words>
  <Characters>13282</Characters>
  <Application>Microsoft Office Word</Application>
  <DocSecurity>0</DocSecurity>
  <Lines>204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O'Brien</dc:creator>
  <cp:keywords/>
  <dc:description/>
  <cp:lastModifiedBy>Alice Welsh</cp:lastModifiedBy>
  <cp:revision>2</cp:revision>
  <dcterms:created xsi:type="dcterms:W3CDTF">2021-09-23T05:05:00Z</dcterms:created>
  <dcterms:modified xsi:type="dcterms:W3CDTF">2021-09-23T05:05:00Z</dcterms:modified>
</cp:coreProperties>
</file>