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C118" w14:textId="78CCDBF8" w:rsidR="00B519C6" w:rsidRPr="00D80750" w:rsidRDefault="004F6D9E" w:rsidP="00082190">
      <w:pPr>
        <w:jc w:val="both"/>
      </w:pPr>
      <w:r>
        <w:rPr>
          <w:noProof/>
        </w:rPr>
        <mc:AlternateContent>
          <mc:Choice Requires="wps">
            <w:drawing>
              <wp:anchor distT="45720" distB="45720" distL="114300" distR="114300" simplePos="0" relativeHeight="251667456" behindDoc="0" locked="0" layoutInCell="1" allowOverlap="1" wp14:anchorId="661FBA6B" wp14:editId="0180B17E">
                <wp:simplePos x="0" y="0"/>
                <wp:positionH relativeFrom="column">
                  <wp:posOffset>-69215</wp:posOffset>
                </wp:positionH>
                <wp:positionV relativeFrom="paragraph">
                  <wp:posOffset>4815840</wp:posOffset>
                </wp:positionV>
                <wp:extent cx="4000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4620"/>
                        </a:xfrm>
                        <a:prstGeom prst="rect">
                          <a:avLst/>
                        </a:prstGeom>
                        <a:noFill/>
                        <a:ln w="9525">
                          <a:noFill/>
                          <a:miter lim="800000"/>
                          <a:headEnd/>
                          <a:tailEnd/>
                        </a:ln>
                      </wps:spPr>
                      <wps:txbx>
                        <w:txbxContent>
                          <w:p w14:paraId="68CC184B" w14:textId="77777777" w:rsidR="004F6D9E" w:rsidRPr="004C6FA9" w:rsidRDefault="004F6D9E" w:rsidP="004F6D9E">
                            <w:pPr>
                              <w:rPr>
                                <w:color w:val="FFFFFF" w:themeColor="background1"/>
                                <w:sz w:val="44"/>
                                <w:szCs w:val="44"/>
                              </w:rPr>
                            </w:pPr>
                            <w:r w:rsidRPr="004C6FA9">
                              <w:rPr>
                                <w:color w:val="FFFFFF" w:themeColor="background1"/>
                                <w:sz w:val="44"/>
                                <w:szCs w:val="44"/>
                              </w:rPr>
                              <w:t xml:space="preserve">Emergency measures </w:t>
                            </w:r>
                            <w:proofErr w:type="gramStart"/>
                            <w:r w:rsidRPr="004C6FA9">
                              <w:rPr>
                                <w:color w:val="FFFFFF" w:themeColor="background1"/>
                                <w:sz w:val="44"/>
                                <w:szCs w:val="44"/>
                              </w:rPr>
                              <w:t>needed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1FBA6B" id="_x0000_t202" coordsize="21600,21600" o:spt="202" path="m,l,21600r21600,l21600,xe">
                <v:stroke joinstyle="miter"/>
                <v:path gradientshapeok="t" o:connecttype="rect"/>
              </v:shapetype>
              <v:shape id="Text Box 2" o:spid="_x0000_s1026" type="#_x0000_t202" style="position:absolute;left:0;text-align:left;margin-left:-5.45pt;margin-top:379.2pt;width:31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" filled="f" stroked="f">
                <v:textbox style="mso-fit-shape-to-text:t">
                  <w:txbxContent>
                    <w:p w14:paraId="68CC184B" w14:textId="77777777" w:rsidR="004F6D9E" w:rsidRPr="004C6FA9" w:rsidRDefault="004F6D9E" w:rsidP="004F6D9E">
                      <w:pPr>
                        <w:rPr>
                          <w:color w:val="FFFFFF" w:themeColor="background1"/>
                          <w:sz w:val="44"/>
                          <w:szCs w:val="44"/>
                        </w:rPr>
                      </w:pPr>
                      <w:r w:rsidRPr="004C6FA9">
                        <w:rPr>
                          <w:color w:val="FFFFFF" w:themeColor="background1"/>
                          <w:sz w:val="44"/>
                          <w:szCs w:val="44"/>
                        </w:rPr>
                        <w:t>Emergency measures needed</w:t>
                      </w:r>
                    </w:p>
                  </w:txbxContent>
                </v:textbox>
                <w10:wrap type="square"/>
              </v:shape>
            </w:pict>
          </mc:Fallback>
        </mc:AlternateContent>
      </w:r>
      <w:r w:rsidR="00047299" w:rsidRPr="00D80750">
        <w:rPr>
          <w:noProof/>
          <w:lang w:eastAsia="en-GB"/>
        </w:rPr>
        <w:drawing>
          <wp:anchor distT="0" distB="0" distL="114300" distR="114300" simplePos="0" relativeHeight="251661312" behindDoc="0" locked="0" layoutInCell="1" allowOverlap="1" wp14:anchorId="48F0E4E6" wp14:editId="41ACFB0C">
            <wp:simplePos x="0" y="0"/>
            <wp:positionH relativeFrom="column">
              <wp:posOffset>-142119</wp:posOffset>
            </wp:positionH>
            <wp:positionV relativeFrom="paragraph">
              <wp:posOffset>261620</wp:posOffset>
            </wp:positionV>
            <wp:extent cx="4970152" cy="1368000"/>
            <wp:effectExtent l="0" t="0" r="1905" b="381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BH_logo with partne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0152" cy="1368000"/>
                    </a:xfrm>
                    <a:prstGeom prst="rect">
                      <a:avLst/>
                    </a:prstGeom>
                  </pic:spPr>
                </pic:pic>
              </a:graphicData>
            </a:graphic>
            <wp14:sizeRelH relativeFrom="margin">
              <wp14:pctWidth>0</wp14:pctWidth>
            </wp14:sizeRelH>
            <wp14:sizeRelV relativeFrom="margin">
              <wp14:pctHeight>0</wp14:pctHeight>
            </wp14:sizeRelV>
          </wp:anchor>
        </w:drawing>
      </w:r>
      <w:r w:rsidR="00047299">
        <w:rPr>
          <w:noProof/>
        </w:rPr>
        <mc:AlternateContent>
          <mc:Choice Requires="wps">
            <w:drawing>
              <wp:anchor distT="0" distB="0" distL="114300" distR="114300" simplePos="0" relativeHeight="251657215" behindDoc="1" locked="0" layoutInCell="1" allowOverlap="1" wp14:anchorId="6A173E87" wp14:editId="03FE8023">
                <wp:simplePos x="0" y="0"/>
                <wp:positionH relativeFrom="column">
                  <wp:posOffset>-462915</wp:posOffset>
                </wp:positionH>
                <wp:positionV relativeFrom="paragraph">
                  <wp:posOffset>1799463</wp:posOffset>
                </wp:positionV>
                <wp:extent cx="6857365" cy="6974840"/>
                <wp:effectExtent l="0" t="0" r="635" b="0"/>
                <wp:wrapNone/>
                <wp:docPr id="22" name="Rectangle 22"/>
                <wp:cNvGraphicFramePr/>
                <a:graphic xmlns:a="http://schemas.openxmlformats.org/drawingml/2006/main">
                  <a:graphicData uri="http://schemas.microsoft.com/office/word/2010/wordprocessingShape">
                    <wps:wsp>
                      <wps:cNvSpPr/>
                      <wps:spPr>
                        <a:xfrm>
                          <a:off x="0" y="0"/>
                          <a:ext cx="6857365" cy="6974840"/>
                        </a:xfrm>
                        <a:prstGeom prst="rect">
                          <a:avLst/>
                        </a:prstGeom>
                        <a:solidFill>
                          <a:srgbClr val="0000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0CD0A" w14:textId="5566CC02" w:rsidR="00047299" w:rsidRDefault="009A4CFC" w:rsidP="00047299">
                            <w:pPr>
                              <w:pStyle w:val="NoSpacing"/>
                              <w:spacing w:before="120"/>
                              <w:jc w:val="center"/>
                              <w:rPr>
                                <w:color w:val="FFFFFF" w:themeColor="background1"/>
                              </w:rPr>
                            </w:pPr>
                            <w:sdt>
                              <w:sdtPr>
                                <w:rPr>
                                  <w:color w:val="FFFFFF" w:themeColor="background1"/>
                                </w:rPr>
                                <w:alias w:val="Author"/>
                                <w:tag w:val=""/>
                                <w:id w:val="225192300"/>
                                <w:dataBinding w:prefixMappings="xmlns:ns0='http://purl.org/dc/elements/1.1/' xmlns:ns1='http://schemas.openxmlformats.org/package/2006/metadata/core-properties' " w:xpath="/ns1:coreProperties[1]/ns0:creator[1]" w:storeItemID="{6C3C8BC8-F283-45AE-878A-BAB7291924A1}"/>
                                <w:text/>
                              </w:sdtPr>
                              <w:sdtEndPr/>
                              <w:sdtContent>
                                <w:r w:rsidR="004F6D9E">
                                  <w:rPr>
                                    <w:color w:val="FFFFFF" w:themeColor="background1"/>
                                  </w:rPr>
                                  <w:t>Professor Charlotte O’Brien and Dr Alice Welsh</w:t>
                                </w:r>
                              </w:sdtContent>
                            </w:sdt>
                          </w:p>
                          <w:p w14:paraId="4AE22D89" w14:textId="69BBA562" w:rsidR="00C06D18" w:rsidRDefault="004F6D9E" w:rsidP="00047299">
                            <w:pPr>
                              <w:pStyle w:val="NoSpacing"/>
                              <w:spacing w:before="120"/>
                              <w:jc w:val="center"/>
                              <w:rPr>
                                <w:color w:val="FFFFFF" w:themeColor="background1"/>
                              </w:rPr>
                            </w:pPr>
                            <w:r>
                              <w:rPr>
                                <w:color w:val="FFFFFF" w:themeColor="background1"/>
                              </w:rPr>
                              <w:t>May 2021</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6A173E87" id="Rectangle 22" o:spid="_x0000_s1027" style="position:absolute;left:0;text-align:left;margin-left:-36.45pt;margin-top:141.7pt;width:539.95pt;height:549.2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" fillcolor="#000046" stroked="f" strokeweight="1pt">
                <v:textbox inset="36pt,57.6pt,36pt,36pt">
                  <w:txbxContent>
                    <w:p w14:paraId="6C70CD0A" w14:textId="5566CC02" w:rsidR="00047299" w:rsidRDefault="0007023D" w:rsidP="00047299">
                      <w:pPr>
                        <w:pStyle w:val="NoSpacing"/>
                        <w:spacing w:before="120"/>
                        <w:jc w:val="center"/>
                        <w:rPr>
                          <w:color w:val="FFFFFF" w:themeColor="background1"/>
                        </w:rPr>
                      </w:pPr>
                      <w:sdt>
                        <w:sdtPr>
                          <w:rPr>
                            <w:color w:val="FFFFFF" w:themeColor="background1"/>
                          </w:rPr>
                          <w:alias w:val="Author"/>
                          <w:tag w:val=""/>
                          <w:id w:val="225192300"/>
                          <w:dataBinding w:prefixMappings="xmlns:ns0='http://purl.org/dc/elements/1.1/' xmlns:ns1='http://schemas.openxmlformats.org/package/2006/metadata/core-properties' " w:xpath="/ns1:coreProperties[1]/ns0:creator[1]" w:storeItemID="{6C3C8BC8-F283-45AE-878A-BAB7291924A1}"/>
                          <w:text/>
                        </w:sdtPr>
                        <w:sdtEndPr/>
                        <w:sdtContent>
                          <w:r w:rsidR="004F6D9E">
                            <w:rPr>
                              <w:color w:val="FFFFFF" w:themeColor="background1"/>
                            </w:rPr>
                            <w:t>Professor Charlotte O’Brien and Dr Alice Welsh</w:t>
                          </w:r>
                        </w:sdtContent>
                      </w:sdt>
                    </w:p>
                    <w:p w14:paraId="4AE22D89" w14:textId="69BBA562" w:rsidR="00C06D18" w:rsidRDefault="004F6D9E" w:rsidP="00047299">
                      <w:pPr>
                        <w:pStyle w:val="NoSpacing"/>
                        <w:spacing w:before="120"/>
                        <w:jc w:val="center"/>
                        <w:rPr>
                          <w:color w:val="FFFFFF" w:themeColor="background1"/>
                        </w:rPr>
                      </w:pPr>
                      <w:r>
                        <w:rPr>
                          <w:color w:val="FFFFFF" w:themeColor="background1"/>
                        </w:rPr>
                        <w:t>May 2021</w:t>
                      </w:r>
                    </w:p>
                  </w:txbxContent>
                </v:textbox>
              </v:rect>
            </w:pict>
          </mc:Fallback>
        </mc:AlternateContent>
      </w:r>
      <w:r w:rsidR="00047299">
        <w:rPr>
          <w:noProof/>
        </w:rPr>
        <mc:AlternateContent>
          <mc:Choice Requires="wps">
            <w:drawing>
              <wp:anchor distT="0" distB="0" distL="114300" distR="114300" simplePos="0" relativeHeight="251665408" behindDoc="1" locked="0" layoutInCell="1" allowOverlap="1" wp14:anchorId="5B94ABA8" wp14:editId="71FFADB2">
                <wp:simplePos x="0" y="0"/>
                <wp:positionH relativeFrom="margin">
                  <wp:posOffset>-451103</wp:posOffset>
                </wp:positionH>
                <wp:positionV relativeFrom="paragraph">
                  <wp:posOffset>3046476</wp:posOffset>
                </wp:positionV>
                <wp:extent cx="5279136" cy="2505075"/>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5279136" cy="250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DDC38" w14:textId="100FB24C" w:rsidR="004F6D9E" w:rsidRPr="004C6FA9" w:rsidRDefault="004F6D9E" w:rsidP="00047299">
                            <w:pPr>
                              <w:pStyle w:val="NoSpacing"/>
                              <w:rPr>
                                <w:rFonts w:eastAsiaTheme="majorEastAsia" w:cstheme="minorHAnsi"/>
                                <w:b/>
                                <w:bCs/>
                                <w:caps/>
                                <w:color w:val="FFFFFF" w:themeColor="background1"/>
                                <w:sz w:val="72"/>
                                <w:szCs w:val="72"/>
                              </w:rPr>
                            </w:pPr>
                            <w:r w:rsidRPr="004C6FA9">
                              <w:rPr>
                                <w:rFonts w:eastAsiaTheme="majorEastAsia" w:cstheme="minorHAnsi"/>
                                <w:b/>
                                <w:bCs/>
                                <w:caps/>
                                <w:color w:val="FFFFFF" w:themeColor="background1"/>
                                <w:sz w:val="72"/>
                                <w:szCs w:val="72"/>
                              </w:rPr>
                              <w:t>The status of EU nationals: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ABA8" id="Text Box 196" o:spid="_x0000_s1028" type="#_x0000_t202" style="position:absolute;left:0;text-align:left;margin-left:-35.5pt;margin-top:239.9pt;width:415.7pt;height:19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" filled="f" stroked="f" strokeweight=".5pt">
                <v:textbox inset="36pt,7.2pt,36pt,7.2pt">
                  <w:txbxContent>
                    <w:p w14:paraId="334DDC38" w14:textId="100FB24C" w:rsidR="004F6D9E" w:rsidRPr="004C6FA9" w:rsidRDefault="004F6D9E" w:rsidP="00047299">
                      <w:pPr>
                        <w:pStyle w:val="NoSpacing"/>
                        <w:rPr>
                          <w:rFonts w:eastAsiaTheme="majorEastAsia" w:cstheme="minorHAnsi"/>
                          <w:b/>
                          <w:bCs/>
                          <w:caps/>
                          <w:color w:val="FFFFFF" w:themeColor="background1"/>
                          <w:sz w:val="72"/>
                          <w:szCs w:val="72"/>
                        </w:rPr>
                      </w:pPr>
                      <w:r w:rsidRPr="004C6FA9">
                        <w:rPr>
                          <w:rFonts w:eastAsiaTheme="majorEastAsia" w:cstheme="minorHAnsi"/>
                          <w:b/>
                          <w:bCs/>
                          <w:caps/>
                          <w:color w:val="FFFFFF" w:themeColor="background1"/>
                          <w:sz w:val="72"/>
                          <w:szCs w:val="72"/>
                        </w:rPr>
                        <w:t>The status of EU nationals:</w:t>
                      </w:r>
                    </w:p>
                  </w:txbxContent>
                </v:textbox>
                <w10:wrap anchorx="margin"/>
              </v:shape>
            </w:pict>
          </mc:Fallback>
        </mc:AlternateContent>
      </w:r>
      <w:sdt>
        <w:sdtPr>
          <w:id w:val="1522971400"/>
          <w:docPartObj>
            <w:docPartGallery w:val="Cover Pages"/>
            <w:docPartUnique/>
          </w:docPartObj>
        </w:sdtPr>
        <w:sdtEndPr/>
        <w:sdtContent>
          <w:r w:rsidR="00C06D18">
            <w:rPr>
              <w:noProof/>
            </w:rPr>
            <mc:AlternateContent>
              <mc:Choice Requires="wps">
                <w:drawing>
                  <wp:anchor distT="0" distB="0" distL="114300" distR="114300" simplePos="0" relativeHeight="251663360" behindDoc="1" locked="0" layoutInCell="1" allowOverlap="1" wp14:anchorId="119DC243" wp14:editId="7B987930">
                    <wp:simplePos x="0" y="0"/>
                    <wp:positionH relativeFrom="column">
                      <wp:posOffset>-463296</wp:posOffset>
                    </wp:positionH>
                    <wp:positionV relativeFrom="paragraph">
                      <wp:posOffset>-1029335</wp:posOffset>
                    </wp:positionV>
                    <wp:extent cx="6857365" cy="1028700"/>
                    <wp:effectExtent l="0" t="0" r="19685" b="19050"/>
                    <wp:wrapNone/>
                    <wp:docPr id="21" name="Rectangle 21"/>
                    <wp:cNvGraphicFramePr/>
                    <a:graphic xmlns:a="http://schemas.openxmlformats.org/drawingml/2006/main">
                      <a:graphicData uri="http://schemas.microsoft.com/office/word/2010/wordprocessingShape">
                        <wps:wsp>
                          <wps:cNvSpPr/>
                          <wps:spPr>
                            <a:xfrm>
                              <a:off x="0" y="0"/>
                              <a:ext cx="6857365" cy="1028700"/>
                            </a:xfrm>
                            <a:prstGeom prst="rect">
                              <a:avLst/>
                            </a:prstGeom>
                            <a:solidFill>
                              <a:srgbClr val="000046"/>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00E0E" id="Rectangle 21" o:spid="_x0000_s1026" style="position:absolute;margin-left:-36.5pt;margin-top:-81.05pt;width:539.95pt;height:81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" fillcolor="#000046" strokecolor="#44546a [3215]" strokeweight="1pt"/>
                </w:pict>
              </mc:Fallback>
            </mc:AlternateContent>
          </w:r>
          <w:r w:rsidR="00B519C6" w:rsidRPr="00D80750">
            <w:br w:type="page"/>
          </w:r>
        </w:sdtContent>
      </w:sdt>
    </w:p>
    <w:p w14:paraId="607A60B3" w14:textId="5121DE30" w:rsidR="009145D0" w:rsidRDefault="009145D0" w:rsidP="00F95C16">
      <w:pPr>
        <w:pStyle w:val="Heading1"/>
        <w:spacing w:after="240"/>
      </w:pPr>
      <w:bookmarkStart w:id="0" w:name="_Toc72956743"/>
      <w:bookmarkStart w:id="1" w:name="_Toc72843950"/>
      <w:r w:rsidRPr="00F95C16">
        <w:lastRenderedPageBreak/>
        <w:t>Executive Summary</w:t>
      </w:r>
      <w:r w:rsidR="00F95C16" w:rsidRPr="00F95C16">
        <w:t>: Emergency</w:t>
      </w:r>
      <w:r w:rsidR="00F95C16">
        <w:t xml:space="preserve"> measures </w:t>
      </w:r>
      <w:proofErr w:type="gramStart"/>
      <w:r w:rsidR="00F95C16">
        <w:t>needed</w:t>
      </w:r>
      <w:bookmarkEnd w:id="0"/>
      <w:proofErr w:type="gramEnd"/>
      <w:r w:rsidRPr="009145D0">
        <w:rPr>
          <w:sz w:val="28"/>
          <w:szCs w:val="28"/>
        </w:rPr>
        <w:t xml:space="preserve"> </w:t>
      </w:r>
    </w:p>
    <w:p w14:paraId="1BC71298" w14:textId="7CE02066" w:rsidR="00991701" w:rsidRPr="007B00DC" w:rsidRDefault="00991701" w:rsidP="003D0644">
      <w:pPr>
        <w:spacing w:after="0"/>
        <w:rPr>
          <w:rFonts w:ascii="Arial" w:hAnsi="Arial" w:cs="Arial"/>
          <w:color w:val="002060"/>
          <w:sz w:val="28"/>
          <w:szCs w:val="28"/>
        </w:rPr>
      </w:pPr>
      <w:r w:rsidRPr="007B00DC">
        <w:rPr>
          <w:rFonts w:ascii="Arial" w:hAnsi="Arial" w:cs="Arial"/>
          <w:i/>
          <w:iCs/>
          <w:color w:val="002060"/>
          <w:sz w:val="28"/>
          <w:szCs w:val="28"/>
        </w:rPr>
        <w:t>Why</w:t>
      </w:r>
      <w:r w:rsidRPr="007B00DC">
        <w:rPr>
          <w:rFonts w:ascii="Arial" w:hAnsi="Arial" w:cs="Arial"/>
          <w:color w:val="002060"/>
          <w:sz w:val="28"/>
          <w:szCs w:val="28"/>
        </w:rPr>
        <w:t xml:space="preserve"> do we need to analyse the status of EU nationals now?</w:t>
      </w:r>
    </w:p>
    <w:p w14:paraId="054CE2ED" w14:textId="20C92C83" w:rsidR="00D3248A" w:rsidRDefault="00D3248A" w:rsidP="003D0644">
      <w:pPr>
        <w:spacing w:after="240"/>
      </w:pPr>
      <w:r>
        <w:t>T</w:t>
      </w:r>
      <w:r w:rsidR="00991701" w:rsidRPr="00991701">
        <w:t>he deadline for applications to the EU Settlement Scheme</w:t>
      </w:r>
      <w:r w:rsidR="008A1C6B">
        <w:t xml:space="preserve"> (EUSS)</w:t>
      </w:r>
      <w:r w:rsidR="00991701" w:rsidRPr="00991701">
        <w:t xml:space="preserve"> (30</w:t>
      </w:r>
      <w:r w:rsidR="00991701" w:rsidRPr="00991701">
        <w:rPr>
          <w:vertAlign w:val="superscript"/>
        </w:rPr>
        <w:t>th</w:t>
      </w:r>
      <w:r w:rsidR="00991701" w:rsidRPr="00991701">
        <w:t xml:space="preserve"> June 2021) </w:t>
      </w:r>
      <w:r>
        <w:t>is imminent.</w:t>
      </w:r>
      <w:r w:rsidR="00991701" w:rsidRPr="00991701">
        <w:t xml:space="preserve"> </w:t>
      </w:r>
      <w:r>
        <w:t>E</w:t>
      </w:r>
      <w:r w:rsidR="00991701" w:rsidRPr="00991701">
        <w:t xml:space="preserve">mergency measures are needed to ensure that many EU nationals are not wrongfully exposed to the hostile environment. This </w:t>
      </w:r>
      <w:r>
        <w:t>report</w:t>
      </w:r>
      <w:r w:rsidR="00991701" w:rsidRPr="00991701">
        <w:t xml:space="preserve"> covers some of the key risks that the deadline for applying</w:t>
      </w:r>
      <w:r>
        <w:t xml:space="preserve"> </w:t>
      </w:r>
      <w:r w:rsidR="00991701" w:rsidRPr="00991701">
        <w:t>to the EUSS poses for EEA+ nationals.</w:t>
      </w:r>
    </w:p>
    <w:p w14:paraId="06E2F6DF" w14:textId="3D47D208" w:rsidR="00D3248A" w:rsidRPr="007B00DC" w:rsidRDefault="00D3248A" w:rsidP="003D0644">
      <w:pPr>
        <w:spacing w:after="0"/>
        <w:rPr>
          <w:rFonts w:ascii="Arial" w:hAnsi="Arial" w:cs="Arial"/>
          <w:i/>
          <w:iCs/>
          <w:color w:val="002060"/>
          <w:sz w:val="28"/>
          <w:szCs w:val="28"/>
        </w:rPr>
      </w:pPr>
      <w:r w:rsidRPr="007B00DC">
        <w:rPr>
          <w:rFonts w:ascii="Arial" w:hAnsi="Arial" w:cs="Arial"/>
          <w:i/>
          <w:iCs/>
          <w:color w:val="002060"/>
          <w:sz w:val="28"/>
          <w:szCs w:val="28"/>
        </w:rPr>
        <w:t xml:space="preserve">Who </w:t>
      </w:r>
      <w:r w:rsidRPr="007B00DC">
        <w:rPr>
          <w:rFonts w:ascii="Arial" w:hAnsi="Arial" w:cs="Arial"/>
          <w:color w:val="002060"/>
          <w:sz w:val="28"/>
          <w:szCs w:val="28"/>
        </w:rPr>
        <w:t>is affected?</w:t>
      </w:r>
      <w:r w:rsidRPr="007B00DC">
        <w:rPr>
          <w:rFonts w:ascii="Arial" w:hAnsi="Arial" w:cs="Arial"/>
          <w:i/>
          <w:iCs/>
          <w:color w:val="002060"/>
          <w:sz w:val="28"/>
          <w:szCs w:val="28"/>
        </w:rPr>
        <w:t xml:space="preserve"> </w:t>
      </w:r>
    </w:p>
    <w:p w14:paraId="3292213F" w14:textId="6C1B95F8" w:rsidR="00D3248A" w:rsidRPr="00D3248A" w:rsidRDefault="00D3248A" w:rsidP="003D0644">
      <w:pPr>
        <w:spacing w:after="240"/>
      </w:pPr>
      <w:r w:rsidRPr="009E63F3">
        <w:rPr>
          <w:b/>
          <w:bCs/>
        </w:rPr>
        <w:t>A</w:t>
      </w:r>
      <w:r w:rsidR="009E63F3" w:rsidRPr="009E63F3">
        <w:rPr>
          <w:b/>
          <w:bCs/>
        </w:rPr>
        <w:t>ll</w:t>
      </w:r>
      <w:r>
        <w:t xml:space="preserve"> EU/EEA national</w:t>
      </w:r>
      <w:r w:rsidR="009E63F3">
        <w:t>s</w:t>
      </w:r>
      <w:r>
        <w:t xml:space="preserve"> and their family members (collectively termed EEA+ nationals)</w:t>
      </w:r>
      <w:r w:rsidR="003E5B08" w:rsidRPr="003E5B08">
        <w:rPr>
          <w:vertAlign w:val="superscript"/>
        </w:rPr>
        <w:t xml:space="preserve"> </w:t>
      </w:r>
      <w:r>
        <w:t xml:space="preserve">resident in the UK before the transition period for the UK leaving the EU ended on the </w:t>
      </w:r>
      <w:proofErr w:type="gramStart"/>
      <w:r>
        <w:t>31</w:t>
      </w:r>
      <w:r w:rsidRPr="00D3248A">
        <w:rPr>
          <w:vertAlign w:val="superscript"/>
        </w:rPr>
        <w:t>st</w:t>
      </w:r>
      <w:proofErr w:type="gramEnd"/>
      <w:r>
        <w:t xml:space="preserve"> December 2020, who does not have British citizenship or indefinite leave to remain, will need to have applied to the EUSS by the deadline to avoid a loss of rights to reside. </w:t>
      </w:r>
      <w:r w:rsidR="009E63F3">
        <w:t xml:space="preserve">This is true even for long-term, economically contributing residents, and even for EEA+ nationals born in the UK. </w:t>
      </w:r>
    </w:p>
    <w:p w14:paraId="7AE0BF13" w14:textId="1EA87C1E" w:rsidR="00991701" w:rsidRPr="007B00DC" w:rsidRDefault="00991701" w:rsidP="003D0644">
      <w:pPr>
        <w:spacing w:after="0"/>
        <w:rPr>
          <w:rFonts w:ascii="Arial" w:hAnsi="Arial" w:cs="Arial"/>
          <w:color w:val="002060"/>
          <w:sz w:val="28"/>
          <w:szCs w:val="28"/>
        </w:rPr>
      </w:pPr>
      <w:r w:rsidRPr="007B00DC">
        <w:rPr>
          <w:rFonts w:ascii="Arial" w:hAnsi="Arial" w:cs="Arial"/>
          <w:i/>
          <w:iCs/>
          <w:color w:val="002060"/>
          <w:sz w:val="28"/>
          <w:szCs w:val="28"/>
        </w:rPr>
        <w:t xml:space="preserve">How </w:t>
      </w:r>
      <w:r w:rsidR="00FD46C9" w:rsidRPr="007B00DC">
        <w:rPr>
          <w:rFonts w:ascii="Arial" w:hAnsi="Arial" w:cs="Arial"/>
          <w:color w:val="002060"/>
          <w:sz w:val="28"/>
          <w:szCs w:val="28"/>
        </w:rPr>
        <w:t>was this research conducted</w:t>
      </w:r>
      <w:r w:rsidRPr="007B00DC">
        <w:rPr>
          <w:rFonts w:ascii="Arial" w:hAnsi="Arial" w:cs="Arial"/>
          <w:color w:val="002060"/>
          <w:sz w:val="28"/>
          <w:szCs w:val="28"/>
        </w:rPr>
        <w:t xml:space="preserve">? </w:t>
      </w:r>
    </w:p>
    <w:p w14:paraId="0C5600DC" w14:textId="3AD97677" w:rsidR="00991701" w:rsidRPr="00991701" w:rsidRDefault="009E63F3" w:rsidP="003D0644">
      <w:pPr>
        <w:spacing w:after="240"/>
      </w:pPr>
      <w:r>
        <w:t xml:space="preserve">The EU Rights &amp; Brexit Hub works with advice organisations around the UK who help EEA+ nationals. We give second tier advice and support on access to public </w:t>
      </w:r>
      <w:proofErr w:type="gramStart"/>
      <w:r>
        <w:t>services, and</w:t>
      </w:r>
      <w:proofErr w:type="gramEnd"/>
      <w:r>
        <w:t xml:space="preserve"> gather evidence of problems encountered. We have conducted an extensive </w:t>
      </w:r>
      <w:r w:rsidR="00857BB9" w:rsidRPr="00857BB9">
        <w:t xml:space="preserve">analysis of the </w:t>
      </w:r>
      <w:r>
        <w:t>changing</w:t>
      </w:r>
      <w:r w:rsidR="00857BB9" w:rsidRPr="00857BB9">
        <w:t xml:space="preserve"> legislation</w:t>
      </w:r>
      <w:r>
        <w:t>, rules</w:t>
      </w:r>
      <w:r w:rsidR="00857BB9" w:rsidRPr="00857BB9">
        <w:t xml:space="preserve"> and guidance</w:t>
      </w:r>
      <w:r>
        <w:t xml:space="preserve"> covering EEA+ nationals’ rights post-Brexit, </w:t>
      </w:r>
      <w:r w:rsidR="003D0644">
        <w:t xml:space="preserve">further </w:t>
      </w:r>
      <w:r>
        <w:t xml:space="preserve">informed by findings on the experiences and legal exclusions faced by vulnerable EEA+ nationals pre-Brexit.   </w:t>
      </w:r>
    </w:p>
    <w:p w14:paraId="2F798C7A" w14:textId="5BDA476E" w:rsidR="00991701" w:rsidRPr="007B00DC" w:rsidRDefault="00991701" w:rsidP="003D0644">
      <w:pPr>
        <w:spacing w:after="0"/>
        <w:rPr>
          <w:rFonts w:ascii="Arial" w:hAnsi="Arial" w:cs="Arial"/>
          <w:color w:val="002060"/>
          <w:sz w:val="28"/>
          <w:szCs w:val="28"/>
        </w:rPr>
      </w:pPr>
      <w:r w:rsidRPr="007B00DC">
        <w:rPr>
          <w:rFonts w:ascii="Arial" w:hAnsi="Arial" w:cs="Arial"/>
          <w:i/>
          <w:iCs/>
          <w:color w:val="002060"/>
          <w:sz w:val="28"/>
          <w:szCs w:val="28"/>
        </w:rPr>
        <w:t>What</w:t>
      </w:r>
      <w:r w:rsidRPr="007B00DC">
        <w:rPr>
          <w:rFonts w:ascii="Arial" w:hAnsi="Arial" w:cs="Arial"/>
          <w:color w:val="002060"/>
          <w:sz w:val="28"/>
          <w:szCs w:val="28"/>
        </w:rPr>
        <w:t xml:space="preserve"> needs to happen next? </w:t>
      </w:r>
    </w:p>
    <w:p w14:paraId="7B81C43B" w14:textId="77777777" w:rsidR="00297741" w:rsidRDefault="00857BB9">
      <w:r>
        <w:t>This report outlines five key proposals</w:t>
      </w:r>
      <w:r w:rsidR="00297741">
        <w:t>:</w:t>
      </w:r>
    </w:p>
    <w:p w14:paraId="05C1B1D0" w14:textId="632B84D8" w:rsidR="00856B41" w:rsidRPr="00856B41" w:rsidRDefault="00856B41" w:rsidP="00856B41">
      <w:pPr>
        <w:pStyle w:val="ListParagraph"/>
        <w:numPr>
          <w:ilvl w:val="0"/>
          <w:numId w:val="40"/>
        </w:numPr>
        <w:rPr>
          <w:color w:val="002060"/>
        </w:rPr>
      </w:pPr>
      <w:r w:rsidRPr="00856B41">
        <w:rPr>
          <w:color w:val="002060"/>
        </w:rPr>
        <w:t>Reaching the not-yet applied</w:t>
      </w:r>
    </w:p>
    <w:p w14:paraId="6709CA69" w14:textId="65672A18" w:rsidR="00856B41" w:rsidRDefault="00856B41" w:rsidP="00496402">
      <w:r w:rsidRPr="00662229">
        <w:t>It is now clear that a significant minority of EEA</w:t>
      </w:r>
      <w:r>
        <w:t>+</w:t>
      </w:r>
      <w:r w:rsidRPr="00662229">
        <w:t xml:space="preserve"> nationals w</w:t>
      </w:r>
      <w:r w:rsidR="00F95C16">
        <w:t xml:space="preserve">ill </w:t>
      </w:r>
      <w:r w:rsidRPr="00662229">
        <w:t xml:space="preserve">fail to register by the deadline, and who will thus be ‘left behind’. If they do not qualify as having </w:t>
      </w:r>
      <w:r>
        <w:t xml:space="preserve">a good reason </w:t>
      </w:r>
      <w:r w:rsidRPr="00662229">
        <w:t>for missing the deadline, they automatically and irreversibly lose their right to reside</w:t>
      </w:r>
      <w:r>
        <w:t xml:space="preserve">. </w:t>
      </w:r>
      <w:r w:rsidRPr="00662229">
        <w:t>They will then be subject to the hostile environment, and potentially to removal.</w:t>
      </w:r>
      <w:r>
        <w:t xml:space="preserve"> We recommend a scoping exercise and</w:t>
      </w:r>
      <w:r w:rsidR="00496402">
        <w:t xml:space="preserve"> an urgent communications strategy for reaching them.</w:t>
      </w:r>
    </w:p>
    <w:p w14:paraId="42E3E0BD" w14:textId="7F6436CD" w:rsidR="00856B41" w:rsidRDefault="00856B41" w:rsidP="00856B41">
      <w:pPr>
        <w:pStyle w:val="ListParagraph"/>
        <w:numPr>
          <w:ilvl w:val="0"/>
          <w:numId w:val="40"/>
        </w:numPr>
        <w:rPr>
          <w:color w:val="002060"/>
        </w:rPr>
      </w:pPr>
      <w:r w:rsidRPr="00633812">
        <w:rPr>
          <w:color w:val="002060"/>
        </w:rPr>
        <w:t>Protecting</w:t>
      </w:r>
      <w:r w:rsidR="00297741" w:rsidRPr="00633812">
        <w:rPr>
          <w:color w:val="002060"/>
        </w:rPr>
        <w:t xml:space="preserve"> late applica</w:t>
      </w:r>
      <w:r w:rsidRPr="00633812">
        <w:rPr>
          <w:color w:val="002060"/>
        </w:rPr>
        <w:t>nts</w:t>
      </w:r>
      <w:r w:rsidR="00633812">
        <w:rPr>
          <w:color w:val="002060"/>
        </w:rPr>
        <w:t>: a substantive scheme</w:t>
      </w:r>
    </w:p>
    <w:p w14:paraId="19B0A30E" w14:textId="4C08620E" w:rsidR="00633812" w:rsidRDefault="00633812" w:rsidP="003E2923">
      <w:pPr>
        <w:spacing w:after="240"/>
        <w:jc w:val="both"/>
      </w:pPr>
      <w:r>
        <w:t>The new guidance on reasonable grounds for making late applications is expansive, including a range of circumstances that could prevent vulnerable applicants from meeting the deadline. However, t</w:t>
      </w:r>
      <w:r w:rsidRPr="00794599">
        <w:t xml:space="preserve">he </w:t>
      </w:r>
      <w:r>
        <w:t xml:space="preserve">guidance is inevitably incomplete, and will be open to </w:t>
      </w:r>
      <w:r w:rsidR="003E2923">
        <w:t>inconsistent</w:t>
      </w:r>
      <w:r>
        <w:t xml:space="preserve"> interpretations. </w:t>
      </w:r>
      <w:r w:rsidR="003E2923">
        <w:t xml:space="preserve">A less convoluted approach </w:t>
      </w:r>
      <w:r>
        <w:t xml:space="preserve">would </w:t>
      </w:r>
      <w:r w:rsidR="003E2923">
        <w:t xml:space="preserve">be to </w:t>
      </w:r>
      <w:r>
        <w:t xml:space="preserve">recognise a general right to apply late to the scheme. </w:t>
      </w:r>
      <w:r w:rsidR="00EF6EF3">
        <w:t xml:space="preserve">While wishing to avoid the exclusions that will be created by a hard deadline, we recognise </w:t>
      </w:r>
      <w:r w:rsidR="00EF6EF3" w:rsidRPr="00842B8D">
        <w:t>the legitimate concerns of the UK Home Office to ensure timely applications, to avoid long-term non-registration</w:t>
      </w:r>
      <w:r w:rsidR="00EF6EF3">
        <w:t xml:space="preserve">. A </w:t>
      </w:r>
      <w:r w:rsidR="00EF6EF3" w:rsidRPr="003E7ED3">
        <w:t>substantive scheme</w:t>
      </w:r>
      <w:r w:rsidR="00EF6EF3">
        <w:t xml:space="preserve"> could be an effective </w:t>
      </w:r>
      <w:r w:rsidR="00EF6EF3">
        <w:lastRenderedPageBreak/>
        <w:t>compromise</w:t>
      </w:r>
      <w:r w:rsidRPr="00842B8D">
        <w:t xml:space="preserve">. </w:t>
      </w:r>
      <w:r w:rsidR="00EF6EF3">
        <w:t>A</w:t>
      </w:r>
      <w:r>
        <w:t>pplicants</w:t>
      </w:r>
      <w:r w:rsidRPr="00482B03">
        <w:t xml:space="preserve"> who meet the substantive conditions for the EUSS </w:t>
      </w:r>
      <w:r w:rsidR="003E2923">
        <w:t>could</w:t>
      </w:r>
      <w:r w:rsidRPr="00482B03">
        <w:t xml:space="preserve"> make a late application</w:t>
      </w:r>
      <w:r w:rsidR="003E2923">
        <w:t>; those without</w:t>
      </w:r>
      <w:r>
        <w:t xml:space="preserve"> </w:t>
      </w:r>
      <w:r w:rsidRPr="00482B03">
        <w:t xml:space="preserve">a good reason </w:t>
      </w:r>
      <w:r w:rsidR="003E2923">
        <w:t>could</w:t>
      </w:r>
      <w:r w:rsidRPr="00482B03">
        <w:t xml:space="preserve"> pay a </w:t>
      </w:r>
      <w:r>
        <w:t xml:space="preserve">fixed sum </w:t>
      </w:r>
      <w:r w:rsidRPr="00482B03">
        <w:t>application fee</w:t>
      </w:r>
      <w:r>
        <w:t>, like</w:t>
      </w:r>
      <w:r w:rsidRPr="00482B03">
        <w:t xml:space="preserve"> the late submission of tax returns</w:t>
      </w:r>
      <w:r>
        <w:t>. This</w:t>
      </w:r>
      <w:r w:rsidRPr="00482B03">
        <w:t xml:space="preserve"> would represent a proportionate penalty</w:t>
      </w:r>
      <w:r>
        <w:t xml:space="preserve"> for missing a deadline</w:t>
      </w:r>
      <w:r w:rsidRPr="00482B03">
        <w:t xml:space="preserve">. </w:t>
      </w:r>
      <w:r w:rsidR="00EF6EF3" w:rsidRPr="00EF6EF3">
        <w:t>A substantive scheme like this would</w:t>
      </w:r>
      <w:r w:rsidR="00EF6EF3">
        <w:t xml:space="preserve">: </w:t>
      </w:r>
      <w:r w:rsidR="00EF6EF3">
        <w:rPr>
          <w:b/>
          <w:bCs/>
        </w:rPr>
        <w:t>a</w:t>
      </w:r>
      <w:r w:rsidR="00EF6EF3" w:rsidRPr="00EF6EF3">
        <w:rPr>
          <w:b/>
          <w:bCs/>
        </w:rPr>
        <w:t>void</w:t>
      </w:r>
      <w:r w:rsidR="00EF6EF3" w:rsidRPr="00EF6EF3">
        <w:t xml:space="preserve"> </w:t>
      </w:r>
      <w:r w:rsidR="00EF6EF3">
        <w:t xml:space="preserve">the </w:t>
      </w:r>
      <w:r w:rsidR="00EF6EF3" w:rsidRPr="00EF6EF3">
        <w:t>irreversible loss of residence rights</w:t>
      </w:r>
      <w:r w:rsidR="00EF6EF3">
        <w:t xml:space="preserve">; </w:t>
      </w:r>
      <w:r w:rsidR="00EF6EF3">
        <w:rPr>
          <w:b/>
          <w:bCs/>
        </w:rPr>
        <w:t>e</w:t>
      </w:r>
      <w:r w:rsidR="00EF6EF3" w:rsidRPr="00EF6EF3">
        <w:rPr>
          <w:b/>
          <w:bCs/>
        </w:rPr>
        <w:t>nsure</w:t>
      </w:r>
      <w:r w:rsidR="00EF6EF3" w:rsidRPr="00EF6EF3">
        <w:t xml:space="preserve"> timely applications</w:t>
      </w:r>
      <w:r w:rsidR="00EF6EF3">
        <w:t xml:space="preserve">; </w:t>
      </w:r>
      <w:r w:rsidR="00EF6EF3">
        <w:rPr>
          <w:b/>
          <w:bCs/>
        </w:rPr>
        <w:t>f</w:t>
      </w:r>
      <w:r w:rsidR="00EF6EF3" w:rsidRPr="00EF6EF3">
        <w:rPr>
          <w:b/>
          <w:bCs/>
        </w:rPr>
        <w:t>und</w:t>
      </w:r>
      <w:r w:rsidR="00EF6EF3" w:rsidRPr="00EF6EF3">
        <w:t xml:space="preserve"> the costs of administration for late applications</w:t>
      </w:r>
      <w:r w:rsidR="00EF6EF3">
        <w:t xml:space="preserve">; </w:t>
      </w:r>
      <w:r w:rsidR="00EF6EF3">
        <w:rPr>
          <w:b/>
          <w:bCs/>
        </w:rPr>
        <w:t>p</w:t>
      </w:r>
      <w:r w:rsidR="00EF6EF3" w:rsidRPr="00EF6EF3">
        <w:rPr>
          <w:b/>
          <w:bCs/>
        </w:rPr>
        <w:t>rotect</w:t>
      </w:r>
      <w:r w:rsidR="00EF6EF3" w:rsidRPr="00EF6EF3">
        <w:t xml:space="preserve"> those with ‘reasonable grounds’ from fees</w:t>
      </w:r>
      <w:r w:rsidR="00EF6EF3">
        <w:t xml:space="preserve">; and </w:t>
      </w:r>
      <w:r w:rsidR="00EF6EF3">
        <w:rPr>
          <w:b/>
          <w:bCs/>
        </w:rPr>
        <w:t>a</w:t>
      </w:r>
      <w:r w:rsidR="00EF6EF3" w:rsidRPr="00EF6EF3">
        <w:rPr>
          <w:b/>
          <w:bCs/>
        </w:rPr>
        <w:t>void</w:t>
      </w:r>
      <w:r w:rsidR="00EF6EF3" w:rsidRPr="00EF6EF3">
        <w:t xml:space="preserve"> long-term non-registration</w:t>
      </w:r>
      <w:r w:rsidR="00EF6EF3">
        <w:t xml:space="preserve">. </w:t>
      </w:r>
    </w:p>
    <w:p w14:paraId="6B347A70" w14:textId="77777777" w:rsidR="00633812" w:rsidRDefault="00633812" w:rsidP="00633812">
      <w:pPr>
        <w:pStyle w:val="ListParagraph"/>
        <w:numPr>
          <w:ilvl w:val="0"/>
          <w:numId w:val="40"/>
        </w:numPr>
        <w:rPr>
          <w:color w:val="002060"/>
        </w:rPr>
      </w:pPr>
      <w:r>
        <w:rPr>
          <w:color w:val="002060"/>
        </w:rPr>
        <w:t>Protecting late applicants: addressing gaps in the guidance</w:t>
      </w:r>
    </w:p>
    <w:p w14:paraId="2324CB99" w14:textId="7F9AAF30" w:rsidR="00633812" w:rsidRDefault="00633812" w:rsidP="00F95C16">
      <w:r>
        <w:t xml:space="preserve">We recommend that the guidance be amended to address the following problems: </w:t>
      </w:r>
    </w:p>
    <w:p w14:paraId="2B8FB1AA" w14:textId="2C68AD01" w:rsidR="00633812" w:rsidRPr="00633812" w:rsidRDefault="00633812" w:rsidP="00F95C16">
      <w:pPr>
        <w:pStyle w:val="ListParagraph"/>
        <w:numPr>
          <w:ilvl w:val="0"/>
          <w:numId w:val="42"/>
        </w:numPr>
        <w:ind w:left="1134" w:hanging="425"/>
      </w:pPr>
      <w:r w:rsidRPr="00633812">
        <w:t>Caseworkers should not be directed to examine the immigration histories of victims of abuse/</w:t>
      </w:r>
      <w:proofErr w:type="gramStart"/>
      <w:r w:rsidRPr="00633812">
        <w:t>slavery</w:t>
      </w:r>
      <w:r w:rsidR="00F95C16">
        <w:t>;</w:t>
      </w:r>
      <w:proofErr w:type="gramEnd"/>
      <w:r w:rsidRPr="00633812">
        <w:t xml:space="preserve"> </w:t>
      </w:r>
    </w:p>
    <w:p w14:paraId="40189FF5" w14:textId="007F3D8B" w:rsidR="00633812" w:rsidRPr="00633812" w:rsidRDefault="00633812" w:rsidP="00F95C16">
      <w:pPr>
        <w:pStyle w:val="ListParagraph"/>
        <w:numPr>
          <w:ilvl w:val="0"/>
          <w:numId w:val="42"/>
        </w:numPr>
        <w:ind w:left="1134" w:hanging="425"/>
      </w:pPr>
      <w:r w:rsidRPr="00633812">
        <w:t xml:space="preserve">Children’s rights to </w:t>
      </w:r>
      <w:r w:rsidR="00F95C16">
        <w:t>apply</w:t>
      </w:r>
      <w:r w:rsidRPr="00633812">
        <w:t xml:space="preserve"> late should </w:t>
      </w:r>
      <w:r w:rsidR="00F95C16">
        <w:t>include</w:t>
      </w:r>
      <w:r w:rsidRPr="00633812">
        <w:t xml:space="preserve"> rights for their primary </w:t>
      </w:r>
      <w:proofErr w:type="gramStart"/>
      <w:r w:rsidRPr="00633812">
        <w:t>carers;</w:t>
      </w:r>
      <w:proofErr w:type="gramEnd"/>
    </w:p>
    <w:p w14:paraId="7E4390E0" w14:textId="77777777" w:rsidR="00633812" w:rsidRPr="00633812" w:rsidRDefault="00633812" w:rsidP="00F95C16">
      <w:pPr>
        <w:pStyle w:val="ListParagraph"/>
        <w:numPr>
          <w:ilvl w:val="0"/>
          <w:numId w:val="42"/>
        </w:numPr>
        <w:ind w:left="1134" w:hanging="425"/>
      </w:pPr>
      <w:r w:rsidRPr="00633812">
        <w:t xml:space="preserve">A lack of capacity should in itself be a good reason for a late </w:t>
      </w:r>
      <w:proofErr w:type="gramStart"/>
      <w:r w:rsidRPr="00633812">
        <w:t>application;</w:t>
      </w:r>
      <w:proofErr w:type="gramEnd"/>
      <w:r w:rsidRPr="00633812">
        <w:t xml:space="preserve"> </w:t>
      </w:r>
    </w:p>
    <w:p w14:paraId="5765462F" w14:textId="1959B62F" w:rsidR="00633812" w:rsidRPr="00633812" w:rsidRDefault="00633812" w:rsidP="00F95C16">
      <w:pPr>
        <w:pStyle w:val="ListParagraph"/>
        <w:numPr>
          <w:ilvl w:val="0"/>
          <w:numId w:val="42"/>
        </w:numPr>
        <w:ind w:left="1134" w:hanging="425"/>
      </w:pPr>
      <w:r w:rsidRPr="00633812">
        <w:t xml:space="preserve">Pregnancy/maternity at/around the deadline should be a </w:t>
      </w:r>
      <w:r w:rsidR="00F95C16">
        <w:t xml:space="preserve">reasonable </w:t>
      </w:r>
      <w:proofErr w:type="gramStart"/>
      <w:r w:rsidR="00F95C16">
        <w:t>ground</w:t>
      </w:r>
      <w:r w:rsidRPr="00633812">
        <w:t>;</w:t>
      </w:r>
      <w:proofErr w:type="gramEnd"/>
      <w:r w:rsidRPr="00633812">
        <w:t xml:space="preserve"> </w:t>
      </w:r>
    </w:p>
    <w:p w14:paraId="2D5DA62B" w14:textId="7D1CCD95" w:rsidR="00633812" w:rsidRDefault="00633812" w:rsidP="00F95C16">
      <w:pPr>
        <w:pStyle w:val="ListParagraph"/>
        <w:numPr>
          <w:ilvl w:val="0"/>
          <w:numId w:val="42"/>
        </w:numPr>
        <w:ind w:left="1134" w:hanging="425"/>
      </w:pPr>
      <w:r w:rsidRPr="00633812">
        <w:t xml:space="preserve">Having permanent residence, with or without a permanent residence document, should be a good reason for making a late application.  </w:t>
      </w:r>
    </w:p>
    <w:p w14:paraId="5507CEFB" w14:textId="77777777" w:rsidR="00EF6EF3" w:rsidRDefault="00EF6EF3" w:rsidP="00F95C16">
      <w:pPr>
        <w:pStyle w:val="ListParagraph"/>
        <w:ind w:left="1134" w:hanging="425"/>
      </w:pPr>
    </w:p>
    <w:p w14:paraId="3F9F305A" w14:textId="2FBBB24A" w:rsidR="00856B41" w:rsidRDefault="00297741" w:rsidP="00856B41">
      <w:pPr>
        <w:pStyle w:val="ListParagraph"/>
        <w:numPr>
          <w:ilvl w:val="0"/>
          <w:numId w:val="40"/>
        </w:numPr>
        <w:rPr>
          <w:color w:val="002060"/>
        </w:rPr>
      </w:pPr>
      <w:r w:rsidRPr="00EF6EF3">
        <w:rPr>
          <w:color w:val="002060"/>
        </w:rPr>
        <w:t>Avoiding the status gap</w:t>
      </w:r>
    </w:p>
    <w:p w14:paraId="4F1384B4" w14:textId="767F7F36" w:rsidR="00496402" w:rsidRPr="003E2923" w:rsidRDefault="00496402" w:rsidP="003E2923">
      <w:pPr>
        <w:spacing w:after="240"/>
        <w:jc w:val="both"/>
      </w:pPr>
      <w:r>
        <w:t xml:space="preserve">Even where an EEA national meets the EUSS criteria </w:t>
      </w:r>
      <w:r w:rsidRPr="00C33152">
        <w:rPr>
          <w:i/>
          <w:iCs/>
        </w:rPr>
        <w:t>and</w:t>
      </w:r>
      <w:r>
        <w:t xml:space="preserve"> has a ‘good’ reason for a late application, </w:t>
      </w:r>
      <w:r w:rsidRPr="00114648">
        <w:t xml:space="preserve">and </w:t>
      </w:r>
      <w:r>
        <w:t>makes a successful late application to the EUSS, there is currently no provision for them to retain a right to reside in the interim. Employers and landlords may risk facing civil or criminal penalties for not dismissing or evicting them. We recommend that t</w:t>
      </w:r>
      <w:r w:rsidRPr="00496402">
        <w:t>he Home Office</w:t>
      </w:r>
      <w:r w:rsidR="003E2923">
        <w:t xml:space="preserve"> p</w:t>
      </w:r>
      <w:r>
        <w:t>rovides</w:t>
      </w:r>
      <w:r w:rsidRPr="00496402">
        <w:t xml:space="preserve"> for a </w:t>
      </w:r>
      <w:r w:rsidRPr="003E2923">
        <w:rPr>
          <w:b/>
          <w:bCs/>
        </w:rPr>
        <w:t>temporary right to reside from the end of the grace period</w:t>
      </w:r>
      <w:r w:rsidRPr="00496402">
        <w:t>, to those eligible to apply late to the EUSS</w:t>
      </w:r>
      <w:r>
        <w:t xml:space="preserve"> </w:t>
      </w:r>
      <w:r w:rsidRPr="00496402">
        <w:t>until such a time as the final EUSS decision is produced, to protect applicants, and employers and landlords.</w:t>
      </w:r>
      <w:r w:rsidR="003E2923">
        <w:t xml:space="preserve"> We also recommend </w:t>
      </w:r>
      <w:r w:rsidR="003E2923" w:rsidRPr="003E2923">
        <w:rPr>
          <w:b/>
          <w:bCs/>
        </w:rPr>
        <w:t>the removal of</w:t>
      </w:r>
      <w:r w:rsidR="003E2923">
        <w:t xml:space="preserve"> </w:t>
      </w:r>
      <w:r w:rsidRPr="003E2923">
        <w:rPr>
          <w:b/>
          <w:bCs/>
        </w:rPr>
        <w:t>extra conditions</w:t>
      </w:r>
      <w:r w:rsidRPr="00496402">
        <w:t xml:space="preserve"> placed upon people who have made in-time applications but whose application has not been determined by the deadline, as the delay is beyond their control. </w:t>
      </w:r>
    </w:p>
    <w:p w14:paraId="25E52790" w14:textId="45ED61AF" w:rsidR="00856B41" w:rsidRPr="00496402" w:rsidRDefault="00297741" w:rsidP="003E2923">
      <w:pPr>
        <w:pStyle w:val="ListParagraph"/>
        <w:numPr>
          <w:ilvl w:val="0"/>
          <w:numId w:val="40"/>
        </w:numPr>
        <w:spacing w:after="240"/>
        <w:ind w:left="714" w:hanging="357"/>
        <w:contextualSpacing w:val="0"/>
        <w:rPr>
          <w:color w:val="002060"/>
        </w:rPr>
      </w:pPr>
      <w:r w:rsidRPr="00496402">
        <w:rPr>
          <w:color w:val="002060"/>
        </w:rPr>
        <w:t>Avoiding unnecessary delays</w:t>
      </w:r>
    </w:p>
    <w:p w14:paraId="323A6692" w14:textId="3411CAA9" w:rsidR="00496402" w:rsidRDefault="00496402" w:rsidP="00496402">
      <w:r w:rsidRPr="00602F1C">
        <w:t>We recommend the publication of Home Office data on average EUSS waiting times, and numbers of EUSS applications with waiting times over three, over six and over twelve months.</w:t>
      </w:r>
      <w:r>
        <w:t xml:space="preserve"> We further recommend t</w:t>
      </w:r>
      <w:r w:rsidRPr="00602F1C">
        <w:t xml:space="preserve">he publication of a regular update to delays seen in the EUSS system and a breakdown of the reasons for these delays would help to spot trends, and to identify where people are at risk of losing the opportunity to reapply. </w:t>
      </w:r>
    </w:p>
    <w:p w14:paraId="365EB9A8" w14:textId="77777777" w:rsidR="00496402" w:rsidRPr="00496402" w:rsidRDefault="00297741" w:rsidP="00496402">
      <w:pPr>
        <w:pStyle w:val="ListParagraph"/>
        <w:numPr>
          <w:ilvl w:val="0"/>
          <w:numId w:val="40"/>
        </w:numPr>
        <w:rPr>
          <w:color w:val="002060"/>
        </w:rPr>
      </w:pPr>
      <w:r w:rsidRPr="00496402">
        <w:rPr>
          <w:color w:val="002060"/>
        </w:rPr>
        <w:t>Ensuring consistency</w:t>
      </w:r>
    </w:p>
    <w:p w14:paraId="7FCDFFC9" w14:textId="3F40DCAD" w:rsidR="00496402" w:rsidRDefault="00496402" w:rsidP="00496402">
      <w:r w:rsidRPr="00144DD8">
        <w:t>We suggest that the Home Office trains all decision makers on working with late application requests, and monitors and moderates all late application decisions, to spot outliers and to ensure consistency in approach.</w:t>
      </w:r>
    </w:p>
    <w:p w14:paraId="1293B304" w14:textId="1C9BECE1" w:rsidR="00296497" w:rsidRDefault="009145D0" w:rsidP="00E00654">
      <w:pPr>
        <w:rPr>
          <w:b/>
          <w:bCs/>
          <w:color w:val="002060"/>
          <w:sz w:val="32"/>
          <w:szCs w:val="32"/>
        </w:rPr>
      </w:pPr>
      <w:r>
        <w:br w:type="page"/>
      </w:r>
      <w:r w:rsidR="004F6D9E" w:rsidRPr="00E00654">
        <w:rPr>
          <w:b/>
          <w:bCs/>
          <w:color w:val="002060"/>
          <w:sz w:val="32"/>
          <w:szCs w:val="32"/>
        </w:rPr>
        <w:lastRenderedPageBreak/>
        <w:t>The status of EU nationals</w:t>
      </w:r>
      <w:r w:rsidRPr="00E00654">
        <w:rPr>
          <w:b/>
          <w:bCs/>
          <w:color w:val="002060"/>
          <w:sz w:val="32"/>
          <w:szCs w:val="32"/>
        </w:rPr>
        <w:t xml:space="preserve">: emergency measures </w:t>
      </w:r>
      <w:proofErr w:type="gramStart"/>
      <w:r w:rsidRPr="00E00654">
        <w:rPr>
          <w:b/>
          <w:bCs/>
          <w:color w:val="002060"/>
          <w:sz w:val="32"/>
          <w:szCs w:val="32"/>
        </w:rPr>
        <w:t>needed</w:t>
      </w:r>
      <w:proofErr w:type="gramEnd"/>
      <w:r w:rsidR="004F6D9E" w:rsidRPr="00E00654">
        <w:rPr>
          <w:b/>
          <w:bCs/>
          <w:color w:val="002060"/>
          <w:sz w:val="32"/>
          <w:szCs w:val="32"/>
        </w:rPr>
        <w:t xml:space="preserve"> </w:t>
      </w:r>
      <w:bookmarkEnd w:id="1"/>
    </w:p>
    <w:p w14:paraId="5135E93F" w14:textId="77777777" w:rsidR="00EF3B9A" w:rsidRDefault="00EF3B9A" w:rsidP="00EF3B9A">
      <w:pPr>
        <w:pStyle w:val="TOCHeading"/>
        <w:spacing w:before="0"/>
        <w:rPr>
          <w:rStyle w:val="Heading2Char"/>
        </w:rPr>
      </w:pPr>
    </w:p>
    <w:p w14:paraId="6030BF98" w14:textId="493316DD" w:rsidR="004F0128" w:rsidRPr="004F0128" w:rsidRDefault="00EF3B9A" w:rsidP="004F0128">
      <w:pPr>
        <w:pStyle w:val="TOCHeading"/>
        <w:spacing w:before="0"/>
        <w:rPr>
          <w:rFonts w:ascii="Arial" w:hAnsi="Arial" w:cs="Arial"/>
          <w:sz w:val="28"/>
          <w:szCs w:val="28"/>
        </w:rPr>
      </w:pPr>
      <w:r w:rsidRPr="0069024E">
        <w:rPr>
          <w:rStyle w:val="Heading2Char"/>
        </w:rPr>
        <w:t>Table of Contents</w:t>
      </w:r>
    </w:p>
    <w:p w14:paraId="6B6D1A3F" w14:textId="1D4E4EC6" w:rsidR="00EF3B9A" w:rsidRPr="004F0128" w:rsidRDefault="00EF3B9A" w:rsidP="00EF3B9A">
      <w:pPr>
        <w:pStyle w:val="TOC1"/>
        <w:tabs>
          <w:tab w:val="right" w:leader="dot" w:pos="9016"/>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72956743" w:history="1">
        <w:r w:rsidRPr="004F0128">
          <w:rPr>
            <w:rStyle w:val="Hyperlink"/>
            <w:b w:val="0"/>
            <w:bCs w:val="0"/>
            <w:i w:val="0"/>
            <w:iCs w:val="0"/>
            <w:noProof/>
          </w:rPr>
          <w:t>Executive Summary: Emergency measures needed</w:t>
        </w:r>
        <w:r w:rsidRPr="004F0128">
          <w:rPr>
            <w:b w:val="0"/>
            <w:bCs w:val="0"/>
            <w:i w:val="0"/>
            <w:iCs w:val="0"/>
            <w:noProof/>
            <w:webHidden/>
          </w:rPr>
          <w:tab/>
        </w:r>
        <w:r w:rsidRPr="004F0128">
          <w:rPr>
            <w:b w:val="0"/>
            <w:bCs w:val="0"/>
            <w:i w:val="0"/>
            <w:iCs w:val="0"/>
            <w:noProof/>
            <w:webHidden/>
          </w:rPr>
          <w:fldChar w:fldCharType="begin"/>
        </w:r>
        <w:r w:rsidRPr="004F0128">
          <w:rPr>
            <w:b w:val="0"/>
            <w:bCs w:val="0"/>
            <w:i w:val="0"/>
            <w:iCs w:val="0"/>
            <w:noProof/>
            <w:webHidden/>
          </w:rPr>
          <w:instrText xml:space="preserve"> PAGEREF _Toc72956743 \h </w:instrText>
        </w:r>
        <w:r w:rsidRPr="004F0128">
          <w:rPr>
            <w:b w:val="0"/>
            <w:bCs w:val="0"/>
            <w:i w:val="0"/>
            <w:iCs w:val="0"/>
            <w:noProof/>
            <w:webHidden/>
          </w:rPr>
        </w:r>
        <w:r w:rsidRPr="004F0128">
          <w:rPr>
            <w:b w:val="0"/>
            <w:bCs w:val="0"/>
            <w:i w:val="0"/>
            <w:iCs w:val="0"/>
            <w:noProof/>
            <w:webHidden/>
          </w:rPr>
          <w:fldChar w:fldCharType="separate"/>
        </w:r>
        <w:r w:rsidRPr="004F0128">
          <w:rPr>
            <w:b w:val="0"/>
            <w:bCs w:val="0"/>
            <w:i w:val="0"/>
            <w:iCs w:val="0"/>
            <w:noProof/>
            <w:webHidden/>
          </w:rPr>
          <w:t>1</w:t>
        </w:r>
        <w:r w:rsidRPr="004F0128">
          <w:rPr>
            <w:b w:val="0"/>
            <w:bCs w:val="0"/>
            <w:i w:val="0"/>
            <w:iCs w:val="0"/>
            <w:noProof/>
            <w:webHidden/>
          </w:rPr>
          <w:fldChar w:fldCharType="end"/>
        </w:r>
      </w:hyperlink>
    </w:p>
    <w:p w14:paraId="5394DBF8" w14:textId="77777777" w:rsidR="00EF3B9A" w:rsidRPr="004F0128" w:rsidRDefault="009A4CFC" w:rsidP="00EF3B9A">
      <w:pPr>
        <w:pStyle w:val="TOC1"/>
        <w:tabs>
          <w:tab w:val="left" w:pos="480"/>
          <w:tab w:val="right" w:leader="dot" w:pos="9016"/>
        </w:tabs>
        <w:rPr>
          <w:rFonts w:eastAsiaTheme="minorEastAsia" w:cstheme="minorBidi"/>
          <w:b w:val="0"/>
          <w:bCs w:val="0"/>
          <w:i w:val="0"/>
          <w:iCs w:val="0"/>
          <w:noProof/>
          <w:lang w:eastAsia="en-GB"/>
        </w:rPr>
      </w:pPr>
      <w:hyperlink w:anchor="_Toc72956744" w:history="1">
        <w:r w:rsidR="00EF3B9A" w:rsidRPr="004F0128">
          <w:rPr>
            <w:rStyle w:val="Hyperlink"/>
            <w:b w:val="0"/>
            <w:bCs w:val="0"/>
            <w:i w:val="0"/>
            <w:iCs w:val="0"/>
            <w:noProof/>
          </w:rPr>
          <w:t>1.</w:t>
        </w:r>
        <w:r w:rsidR="00EF3B9A" w:rsidRPr="004F0128">
          <w:rPr>
            <w:rFonts w:eastAsiaTheme="minorEastAsia" w:cstheme="minorBidi"/>
            <w:b w:val="0"/>
            <w:bCs w:val="0"/>
            <w:i w:val="0"/>
            <w:iCs w:val="0"/>
            <w:noProof/>
            <w:lang w:eastAsia="en-GB"/>
          </w:rPr>
          <w:tab/>
        </w:r>
        <w:r w:rsidR="00EF3B9A" w:rsidRPr="004F0128">
          <w:rPr>
            <w:rStyle w:val="Hyperlink"/>
            <w:b w:val="0"/>
            <w:bCs w:val="0"/>
            <w:i w:val="0"/>
            <w:iCs w:val="0"/>
            <w:noProof/>
          </w:rPr>
          <w:t>Reaching EEA+ nationals who have not yet applied to the scheme</w:t>
        </w:r>
        <w:r w:rsidR="00EF3B9A" w:rsidRPr="004F0128">
          <w:rPr>
            <w:b w:val="0"/>
            <w:bCs w:val="0"/>
            <w:i w:val="0"/>
            <w:iCs w:val="0"/>
            <w:noProof/>
            <w:webHidden/>
          </w:rPr>
          <w:tab/>
        </w:r>
        <w:r w:rsidR="00EF3B9A" w:rsidRPr="004F0128">
          <w:rPr>
            <w:b w:val="0"/>
            <w:bCs w:val="0"/>
            <w:i w:val="0"/>
            <w:iCs w:val="0"/>
            <w:noProof/>
            <w:webHidden/>
          </w:rPr>
          <w:fldChar w:fldCharType="begin"/>
        </w:r>
        <w:r w:rsidR="00EF3B9A" w:rsidRPr="004F0128">
          <w:rPr>
            <w:b w:val="0"/>
            <w:bCs w:val="0"/>
            <w:i w:val="0"/>
            <w:iCs w:val="0"/>
            <w:noProof/>
            <w:webHidden/>
          </w:rPr>
          <w:instrText xml:space="preserve"> PAGEREF _Toc72956744 \h </w:instrText>
        </w:r>
        <w:r w:rsidR="00EF3B9A" w:rsidRPr="004F0128">
          <w:rPr>
            <w:b w:val="0"/>
            <w:bCs w:val="0"/>
            <w:i w:val="0"/>
            <w:iCs w:val="0"/>
            <w:noProof/>
            <w:webHidden/>
          </w:rPr>
        </w:r>
        <w:r w:rsidR="00EF3B9A" w:rsidRPr="004F0128">
          <w:rPr>
            <w:b w:val="0"/>
            <w:bCs w:val="0"/>
            <w:i w:val="0"/>
            <w:iCs w:val="0"/>
            <w:noProof/>
            <w:webHidden/>
          </w:rPr>
          <w:fldChar w:fldCharType="separate"/>
        </w:r>
        <w:r w:rsidR="00EF3B9A" w:rsidRPr="004F0128">
          <w:rPr>
            <w:b w:val="0"/>
            <w:bCs w:val="0"/>
            <w:i w:val="0"/>
            <w:iCs w:val="0"/>
            <w:noProof/>
            <w:webHidden/>
          </w:rPr>
          <w:t>4</w:t>
        </w:r>
        <w:r w:rsidR="00EF3B9A" w:rsidRPr="004F0128">
          <w:rPr>
            <w:b w:val="0"/>
            <w:bCs w:val="0"/>
            <w:i w:val="0"/>
            <w:iCs w:val="0"/>
            <w:noProof/>
            <w:webHidden/>
          </w:rPr>
          <w:fldChar w:fldCharType="end"/>
        </w:r>
      </w:hyperlink>
    </w:p>
    <w:p w14:paraId="10C7A751" w14:textId="77777777" w:rsidR="00EF3B9A" w:rsidRPr="004F0128" w:rsidRDefault="009A4CFC" w:rsidP="00EF3B9A">
      <w:pPr>
        <w:pStyle w:val="TOC2"/>
        <w:tabs>
          <w:tab w:val="right" w:leader="dot" w:pos="9016"/>
        </w:tabs>
        <w:rPr>
          <w:rFonts w:eastAsiaTheme="minorEastAsia" w:cstheme="minorBidi"/>
          <w:b w:val="0"/>
          <w:bCs w:val="0"/>
          <w:noProof/>
          <w:sz w:val="24"/>
          <w:szCs w:val="24"/>
          <w:lang w:eastAsia="en-GB"/>
        </w:rPr>
      </w:pPr>
      <w:hyperlink w:anchor="_Toc72956745" w:history="1">
        <w:r w:rsidR="00EF3B9A" w:rsidRPr="004F0128">
          <w:rPr>
            <w:rStyle w:val="Hyperlink"/>
            <w:b w:val="0"/>
            <w:bCs w:val="0"/>
            <w:noProof/>
            <w:sz w:val="24"/>
            <w:szCs w:val="24"/>
          </w:rPr>
          <w:t>Background</w:t>
        </w:r>
        <w:r w:rsidR="00EF3B9A" w:rsidRPr="004F0128">
          <w:rPr>
            <w:b w:val="0"/>
            <w:bCs w:val="0"/>
            <w:noProof/>
            <w:webHidden/>
            <w:sz w:val="24"/>
            <w:szCs w:val="24"/>
          </w:rPr>
          <w:tab/>
        </w:r>
        <w:r w:rsidR="00EF3B9A" w:rsidRPr="004F0128">
          <w:rPr>
            <w:b w:val="0"/>
            <w:bCs w:val="0"/>
            <w:noProof/>
            <w:webHidden/>
            <w:sz w:val="24"/>
            <w:szCs w:val="24"/>
          </w:rPr>
          <w:fldChar w:fldCharType="begin"/>
        </w:r>
        <w:r w:rsidR="00EF3B9A" w:rsidRPr="004F0128">
          <w:rPr>
            <w:b w:val="0"/>
            <w:bCs w:val="0"/>
            <w:noProof/>
            <w:webHidden/>
            <w:sz w:val="24"/>
            <w:szCs w:val="24"/>
          </w:rPr>
          <w:instrText xml:space="preserve"> PAGEREF _Toc72956745 \h </w:instrText>
        </w:r>
        <w:r w:rsidR="00EF3B9A" w:rsidRPr="004F0128">
          <w:rPr>
            <w:b w:val="0"/>
            <w:bCs w:val="0"/>
            <w:noProof/>
            <w:webHidden/>
            <w:sz w:val="24"/>
            <w:szCs w:val="24"/>
          </w:rPr>
        </w:r>
        <w:r w:rsidR="00EF3B9A" w:rsidRPr="004F0128">
          <w:rPr>
            <w:b w:val="0"/>
            <w:bCs w:val="0"/>
            <w:noProof/>
            <w:webHidden/>
            <w:sz w:val="24"/>
            <w:szCs w:val="24"/>
          </w:rPr>
          <w:fldChar w:fldCharType="separate"/>
        </w:r>
        <w:r w:rsidR="00EF3B9A" w:rsidRPr="004F0128">
          <w:rPr>
            <w:b w:val="0"/>
            <w:bCs w:val="0"/>
            <w:noProof/>
            <w:webHidden/>
            <w:sz w:val="24"/>
            <w:szCs w:val="24"/>
          </w:rPr>
          <w:t>4</w:t>
        </w:r>
        <w:r w:rsidR="00EF3B9A" w:rsidRPr="004F0128">
          <w:rPr>
            <w:b w:val="0"/>
            <w:bCs w:val="0"/>
            <w:noProof/>
            <w:webHidden/>
            <w:sz w:val="24"/>
            <w:szCs w:val="24"/>
          </w:rPr>
          <w:fldChar w:fldCharType="end"/>
        </w:r>
      </w:hyperlink>
    </w:p>
    <w:p w14:paraId="566A8952" w14:textId="77777777" w:rsidR="00EF3B9A" w:rsidRPr="004F0128" w:rsidRDefault="009A4CFC" w:rsidP="00EF3B9A">
      <w:pPr>
        <w:pStyle w:val="TOC2"/>
        <w:tabs>
          <w:tab w:val="right" w:leader="dot" w:pos="9016"/>
        </w:tabs>
        <w:rPr>
          <w:rFonts w:eastAsiaTheme="minorEastAsia" w:cstheme="minorBidi"/>
          <w:b w:val="0"/>
          <w:bCs w:val="0"/>
          <w:noProof/>
          <w:sz w:val="24"/>
          <w:szCs w:val="24"/>
          <w:lang w:eastAsia="en-GB"/>
        </w:rPr>
      </w:pPr>
      <w:hyperlink w:anchor="_Toc72956746" w:history="1">
        <w:r w:rsidR="00EF3B9A" w:rsidRPr="004F0128">
          <w:rPr>
            <w:rStyle w:val="Hyperlink"/>
            <w:b w:val="0"/>
            <w:bCs w:val="0"/>
            <w:noProof/>
            <w:sz w:val="24"/>
            <w:szCs w:val="24"/>
          </w:rPr>
          <w:t>Proposed communications strategy:</w:t>
        </w:r>
        <w:r w:rsidR="00EF3B9A" w:rsidRPr="004F0128">
          <w:rPr>
            <w:b w:val="0"/>
            <w:bCs w:val="0"/>
            <w:noProof/>
            <w:webHidden/>
            <w:sz w:val="24"/>
            <w:szCs w:val="24"/>
          </w:rPr>
          <w:tab/>
        </w:r>
        <w:r w:rsidR="00EF3B9A" w:rsidRPr="004F0128">
          <w:rPr>
            <w:b w:val="0"/>
            <w:bCs w:val="0"/>
            <w:noProof/>
            <w:webHidden/>
            <w:sz w:val="24"/>
            <w:szCs w:val="24"/>
          </w:rPr>
          <w:fldChar w:fldCharType="begin"/>
        </w:r>
        <w:r w:rsidR="00EF3B9A" w:rsidRPr="004F0128">
          <w:rPr>
            <w:b w:val="0"/>
            <w:bCs w:val="0"/>
            <w:noProof/>
            <w:webHidden/>
            <w:sz w:val="24"/>
            <w:szCs w:val="24"/>
          </w:rPr>
          <w:instrText xml:space="preserve"> PAGEREF _Toc72956746 \h </w:instrText>
        </w:r>
        <w:r w:rsidR="00EF3B9A" w:rsidRPr="004F0128">
          <w:rPr>
            <w:b w:val="0"/>
            <w:bCs w:val="0"/>
            <w:noProof/>
            <w:webHidden/>
            <w:sz w:val="24"/>
            <w:szCs w:val="24"/>
          </w:rPr>
        </w:r>
        <w:r w:rsidR="00EF3B9A" w:rsidRPr="004F0128">
          <w:rPr>
            <w:b w:val="0"/>
            <w:bCs w:val="0"/>
            <w:noProof/>
            <w:webHidden/>
            <w:sz w:val="24"/>
            <w:szCs w:val="24"/>
          </w:rPr>
          <w:fldChar w:fldCharType="separate"/>
        </w:r>
        <w:r w:rsidR="00EF3B9A" w:rsidRPr="004F0128">
          <w:rPr>
            <w:b w:val="0"/>
            <w:bCs w:val="0"/>
            <w:noProof/>
            <w:webHidden/>
            <w:sz w:val="24"/>
            <w:szCs w:val="24"/>
          </w:rPr>
          <w:t>5</w:t>
        </w:r>
        <w:r w:rsidR="00EF3B9A" w:rsidRPr="004F0128">
          <w:rPr>
            <w:b w:val="0"/>
            <w:bCs w:val="0"/>
            <w:noProof/>
            <w:webHidden/>
            <w:sz w:val="24"/>
            <w:szCs w:val="24"/>
          </w:rPr>
          <w:fldChar w:fldCharType="end"/>
        </w:r>
      </w:hyperlink>
    </w:p>
    <w:p w14:paraId="5022DFC9" w14:textId="77777777" w:rsidR="00EF3B9A" w:rsidRPr="004F0128" w:rsidRDefault="009A4CFC" w:rsidP="00EF3B9A">
      <w:pPr>
        <w:pStyle w:val="TOC1"/>
        <w:tabs>
          <w:tab w:val="left" w:pos="480"/>
          <w:tab w:val="right" w:leader="dot" w:pos="9016"/>
        </w:tabs>
        <w:rPr>
          <w:rFonts w:eastAsiaTheme="minorEastAsia" w:cstheme="minorBidi"/>
          <w:b w:val="0"/>
          <w:bCs w:val="0"/>
          <w:i w:val="0"/>
          <w:iCs w:val="0"/>
          <w:noProof/>
          <w:lang w:eastAsia="en-GB"/>
        </w:rPr>
      </w:pPr>
      <w:hyperlink w:anchor="_Toc72956750" w:history="1">
        <w:r w:rsidR="00EF3B9A" w:rsidRPr="004F0128">
          <w:rPr>
            <w:rStyle w:val="Hyperlink"/>
            <w:b w:val="0"/>
            <w:bCs w:val="0"/>
            <w:i w:val="0"/>
            <w:iCs w:val="0"/>
            <w:noProof/>
          </w:rPr>
          <w:t>2.</w:t>
        </w:r>
        <w:r w:rsidR="00EF3B9A" w:rsidRPr="004F0128">
          <w:rPr>
            <w:rFonts w:eastAsiaTheme="minorEastAsia" w:cstheme="minorBidi"/>
            <w:b w:val="0"/>
            <w:bCs w:val="0"/>
            <w:i w:val="0"/>
            <w:iCs w:val="0"/>
            <w:noProof/>
            <w:lang w:eastAsia="en-GB"/>
          </w:rPr>
          <w:tab/>
        </w:r>
        <w:r w:rsidR="00EF3B9A" w:rsidRPr="004F0128">
          <w:rPr>
            <w:rStyle w:val="Hyperlink"/>
            <w:b w:val="0"/>
            <w:bCs w:val="0"/>
            <w:i w:val="0"/>
            <w:iCs w:val="0"/>
            <w:noProof/>
          </w:rPr>
          <w:t>Protecting late applicants</w:t>
        </w:r>
        <w:r w:rsidR="00EF3B9A" w:rsidRPr="004F0128">
          <w:rPr>
            <w:b w:val="0"/>
            <w:bCs w:val="0"/>
            <w:i w:val="0"/>
            <w:iCs w:val="0"/>
            <w:noProof/>
            <w:webHidden/>
          </w:rPr>
          <w:tab/>
        </w:r>
        <w:r w:rsidR="00EF3B9A" w:rsidRPr="004F0128">
          <w:rPr>
            <w:b w:val="0"/>
            <w:bCs w:val="0"/>
            <w:i w:val="0"/>
            <w:iCs w:val="0"/>
            <w:noProof/>
            <w:webHidden/>
          </w:rPr>
          <w:fldChar w:fldCharType="begin"/>
        </w:r>
        <w:r w:rsidR="00EF3B9A" w:rsidRPr="004F0128">
          <w:rPr>
            <w:b w:val="0"/>
            <w:bCs w:val="0"/>
            <w:i w:val="0"/>
            <w:iCs w:val="0"/>
            <w:noProof/>
            <w:webHidden/>
          </w:rPr>
          <w:instrText xml:space="preserve"> PAGEREF _Toc72956750 \h </w:instrText>
        </w:r>
        <w:r w:rsidR="00EF3B9A" w:rsidRPr="004F0128">
          <w:rPr>
            <w:b w:val="0"/>
            <w:bCs w:val="0"/>
            <w:i w:val="0"/>
            <w:iCs w:val="0"/>
            <w:noProof/>
            <w:webHidden/>
          </w:rPr>
        </w:r>
        <w:r w:rsidR="00EF3B9A" w:rsidRPr="004F0128">
          <w:rPr>
            <w:b w:val="0"/>
            <w:bCs w:val="0"/>
            <w:i w:val="0"/>
            <w:iCs w:val="0"/>
            <w:noProof/>
            <w:webHidden/>
          </w:rPr>
          <w:fldChar w:fldCharType="separate"/>
        </w:r>
        <w:r w:rsidR="00EF3B9A" w:rsidRPr="004F0128">
          <w:rPr>
            <w:b w:val="0"/>
            <w:bCs w:val="0"/>
            <w:i w:val="0"/>
            <w:iCs w:val="0"/>
            <w:noProof/>
            <w:webHidden/>
          </w:rPr>
          <w:t>6</w:t>
        </w:r>
        <w:r w:rsidR="00EF3B9A" w:rsidRPr="004F0128">
          <w:rPr>
            <w:b w:val="0"/>
            <w:bCs w:val="0"/>
            <w:i w:val="0"/>
            <w:iCs w:val="0"/>
            <w:noProof/>
            <w:webHidden/>
          </w:rPr>
          <w:fldChar w:fldCharType="end"/>
        </w:r>
      </w:hyperlink>
    </w:p>
    <w:p w14:paraId="64F0096B" w14:textId="77777777" w:rsidR="00EF3B9A" w:rsidRPr="004F0128" w:rsidRDefault="009A4CFC" w:rsidP="00EF3B9A">
      <w:pPr>
        <w:pStyle w:val="TOC2"/>
        <w:tabs>
          <w:tab w:val="right" w:leader="dot" w:pos="9016"/>
        </w:tabs>
        <w:rPr>
          <w:rFonts w:eastAsiaTheme="minorEastAsia" w:cstheme="minorBidi"/>
          <w:b w:val="0"/>
          <w:bCs w:val="0"/>
          <w:noProof/>
          <w:sz w:val="24"/>
          <w:szCs w:val="24"/>
          <w:lang w:eastAsia="en-GB"/>
        </w:rPr>
      </w:pPr>
      <w:hyperlink w:anchor="_Toc72956751" w:history="1">
        <w:r w:rsidR="00EF3B9A" w:rsidRPr="004F0128">
          <w:rPr>
            <w:rStyle w:val="Hyperlink"/>
            <w:b w:val="0"/>
            <w:bCs w:val="0"/>
            <w:noProof/>
            <w:sz w:val="24"/>
            <w:szCs w:val="24"/>
          </w:rPr>
          <w:t>Background</w:t>
        </w:r>
        <w:r w:rsidR="00EF3B9A" w:rsidRPr="004F0128">
          <w:rPr>
            <w:b w:val="0"/>
            <w:bCs w:val="0"/>
            <w:noProof/>
            <w:webHidden/>
            <w:sz w:val="24"/>
            <w:szCs w:val="24"/>
          </w:rPr>
          <w:tab/>
        </w:r>
        <w:r w:rsidR="00EF3B9A" w:rsidRPr="004F0128">
          <w:rPr>
            <w:b w:val="0"/>
            <w:bCs w:val="0"/>
            <w:noProof/>
            <w:webHidden/>
            <w:sz w:val="24"/>
            <w:szCs w:val="24"/>
          </w:rPr>
          <w:fldChar w:fldCharType="begin"/>
        </w:r>
        <w:r w:rsidR="00EF3B9A" w:rsidRPr="004F0128">
          <w:rPr>
            <w:b w:val="0"/>
            <w:bCs w:val="0"/>
            <w:noProof/>
            <w:webHidden/>
            <w:sz w:val="24"/>
            <w:szCs w:val="24"/>
          </w:rPr>
          <w:instrText xml:space="preserve"> PAGEREF _Toc72956751 \h </w:instrText>
        </w:r>
        <w:r w:rsidR="00EF3B9A" w:rsidRPr="004F0128">
          <w:rPr>
            <w:b w:val="0"/>
            <w:bCs w:val="0"/>
            <w:noProof/>
            <w:webHidden/>
            <w:sz w:val="24"/>
            <w:szCs w:val="24"/>
          </w:rPr>
        </w:r>
        <w:r w:rsidR="00EF3B9A" w:rsidRPr="004F0128">
          <w:rPr>
            <w:b w:val="0"/>
            <w:bCs w:val="0"/>
            <w:noProof/>
            <w:webHidden/>
            <w:sz w:val="24"/>
            <w:szCs w:val="24"/>
          </w:rPr>
          <w:fldChar w:fldCharType="separate"/>
        </w:r>
        <w:r w:rsidR="00EF3B9A" w:rsidRPr="004F0128">
          <w:rPr>
            <w:b w:val="0"/>
            <w:bCs w:val="0"/>
            <w:noProof/>
            <w:webHidden/>
            <w:sz w:val="24"/>
            <w:szCs w:val="24"/>
          </w:rPr>
          <w:t>6</w:t>
        </w:r>
        <w:r w:rsidR="00EF3B9A" w:rsidRPr="004F0128">
          <w:rPr>
            <w:b w:val="0"/>
            <w:bCs w:val="0"/>
            <w:noProof/>
            <w:webHidden/>
            <w:sz w:val="24"/>
            <w:szCs w:val="24"/>
          </w:rPr>
          <w:fldChar w:fldCharType="end"/>
        </w:r>
      </w:hyperlink>
    </w:p>
    <w:p w14:paraId="67A6412F" w14:textId="77777777" w:rsidR="00EF3B9A" w:rsidRPr="004F0128" w:rsidRDefault="009A4CFC" w:rsidP="00EF3B9A">
      <w:pPr>
        <w:pStyle w:val="TOC2"/>
        <w:tabs>
          <w:tab w:val="right" w:leader="dot" w:pos="9016"/>
        </w:tabs>
        <w:rPr>
          <w:rFonts w:eastAsiaTheme="minorEastAsia" w:cstheme="minorBidi"/>
          <w:b w:val="0"/>
          <w:bCs w:val="0"/>
          <w:noProof/>
          <w:sz w:val="24"/>
          <w:szCs w:val="24"/>
          <w:lang w:eastAsia="en-GB"/>
        </w:rPr>
      </w:pPr>
      <w:hyperlink w:anchor="_Toc72956752" w:history="1">
        <w:r w:rsidR="00EF3B9A" w:rsidRPr="004F0128">
          <w:rPr>
            <w:rStyle w:val="Hyperlink"/>
            <w:b w:val="0"/>
            <w:bCs w:val="0"/>
            <w:noProof/>
            <w:sz w:val="24"/>
            <w:szCs w:val="24"/>
          </w:rPr>
          <w:t>Proposal: create a coherent, consistent right to apply after the deadline.</w:t>
        </w:r>
        <w:r w:rsidR="00EF3B9A" w:rsidRPr="004F0128">
          <w:rPr>
            <w:b w:val="0"/>
            <w:bCs w:val="0"/>
            <w:noProof/>
            <w:webHidden/>
            <w:sz w:val="24"/>
            <w:szCs w:val="24"/>
          </w:rPr>
          <w:tab/>
        </w:r>
        <w:r w:rsidR="00EF3B9A" w:rsidRPr="004F0128">
          <w:rPr>
            <w:b w:val="0"/>
            <w:bCs w:val="0"/>
            <w:noProof/>
            <w:webHidden/>
            <w:sz w:val="24"/>
            <w:szCs w:val="24"/>
          </w:rPr>
          <w:fldChar w:fldCharType="begin"/>
        </w:r>
        <w:r w:rsidR="00EF3B9A" w:rsidRPr="004F0128">
          <w:rPr>
            <w:b w:val="0"/>
            <w:bCs w:val="0"/>
            <w:noProof/>
            <w:webHidden/>
            <w:sz w:val="24"/>
            <w:szCs w:val="24"/>
          </w:rPr>
          <w:instrText xml:space="preserve"> PAGEREF _Toc72956752 \h </w:instrText>
        </w:r>
        <w:r w:rsidR="00EF3B9A" w:rsidRPr="004F0128">
          <w:rPr>
            <w:b w:val="0"/>
            <w:bCs w:val="0"/>
            <w:noProof/>
            <w:webHidden/>
            <w:sz w:val="24"/>
            <w:szCs w:val="24"/>
          </w:rPr>
        </w:r>
        <w:r w:rsidR="00EF3B9A" w:rsidRPr="004F0128">
          <w:rPr>
            <w:b w:val="0"/>
            <w:bCs w:val="0"/>
            <w:noProof/>
            <w:webHidden/>
            <w:sz w:val="24"/>
            <w:szCs w:val="24"/>
          </w:rPr>
          <w:fldChar w:fldCharType="separate"/>
        </w:r>
        <w:r w:rsidR="00EF3B9A" w:rsidRPr="004F0128">
          <w:rPr>
            <w:b w:val="0"/>
            <w:bCs w:val="0"/>
            <w:noProof/>
            <w:webHidden/>
            <w:sz w:val="24"/>
            <w:szCs w:val="24"/>
          </w:rPr>
          <w:t>7</w:t>
        </w:r>
        <w:r w:rsidR="00EF3B9A" w:rsidRPr="004F0128">
          <w:rPr>
            <w:b w:val="0"/>
            <w:bCs w:val="0"/>
            <w:noProof/>
            <w:webHidden/>
            <w:sz w:val="24"/>
            <w:szCs w:val="24"/>
          </w:rPr>
          <w:fldChar w:fldCharType="end"/>
        </w:r>
      </w:hyperlink>
    </w:p>
    <w:p w14:paraId="701F96D1" w14:textId="77777777" w:rsidR="00EF3B9A" w:rsidRPr="004F0128" w:rsidRDefault="009A4CFC" w:rsidP="00EF3B9A">
      <w:pPr>
        <w:pStyle w:val="TOC2"/>
        <w:tabs>
          <w:tab w:val="right" w:leader="dot" w:pos="9016"/>
        </w:tabs>
        <w:rPr>
          <w:rFonts w:eastAsiaTheme="minorEastAsia" w:cstheme="minorBidi"/>
          <w:b w:val="0"/>
          <w:bCs w:val="0"/>
          <w:noProof/>
          <w:sz w:val="24"/>
          <w:szCs w:val="24"/>
          <w:lang w:eastAsia="en-GB"/>
        </w:rPr>
      </w:pPr>
      <w:hyperlink w:anchor="_Toc72956753" w:history="1">
        <w:r w:rsidR="00EF3B9A" w:rsidRPr="004F0128">
          <w:rPr>
            <w:rStyle w:val="Hyperlink"/>
            <w:b w:val="0"/>
            <w:bCs w:val="0"/>
            <w:noProof/>
            <w:sz w:val="24"/>
            <w:szCs w:val="24"/>
          </w:rPr>
          <w:t>Proposal: addressing some of the gaps in the guidance</w:t>
        </w:r>
        <w:r w:rsidR="00EF3B9A" w:rsidRPr="004F0128">
          <w:rPr>
            <w:b w:val="0"/>
            <w:bCs w:val="0"/>
            <w:noProof/>
            <w:webHidden/>
            <w:sz w:val="24"/>
            <w:szCs w:val="24"/>
          </w:rPr>
          <w:tab/>
        </w:r>
        <w:r w:rsidR="00EF3B9A" w:rsidRPr="004F0128">
          <w:rPr>
            <w:b w:val="0"/>
            <w:bCs w:val="0"/>
            <w:noProof/>
            <w:webHidden/>
            <w:sz w:val="24"/>
            <w:szCs w:val="24"/>
          </w:rPr>
          <w:fldChar w:fldCharType="begin"/>
        </w:r>
        <w:r w:rsidR="00EF3B9A" w:rsidRPr="004F0128">
          <w:rPr>
            <w:b w:val="0"/>
            <w:bCs w:val="0"/>
            <w:noProof/>
            <w:webHidden/>
            <w:sz w:val="24"/>
            <w:szCs w:val="24"/>
          </w:rPr>
          <w:instrText xml:space="preserve"> PAGEREF _Toc72956753 \h </w:instrText>
        </w:r>
        <w:r w:rsidR="00EF3B9A" w:rsidRPr="004F0128">
          <w:rPr>
            <w:b w:val="0"/>
            <w:bCs w:val="0"/>
            <w:noProof/>
            <w:webHidden/>
            <w:sz w:val="24"/>
            <w:szCs w:val="24"/>
          </w:rPr>
        </w:r>
        <w:r w:rsidR="00EF3B9A" w:rsidRPr="004F0128">
          <w:rPr>
            <w:b w:val="0"/>
            <w:bCs w:val="0"/>
            <w:noProof/>
            <w:webHidden/>
            <w:sz w:val="24"/>
            <w:szCs w:val="24"/>
          </w:rPr>
          <w:fldChar w:fldCharType="separate"/>
        </w:r>
        <w:r w:rsidR="00EF3B9A" w:rsidRPr="004F0128">
          <w:rPr>
            <w:b w:val="0"/>
            <w:bCs w:val="0"/>
            <w:noProof/>
            <w:webHidden/>
            <w:sz w:val="24"/>
            <w:szCs w:val="24"/>
          </w:rPr>
          <w:t>8</w:t>
        </w:r>
        <w:r w:rsidR="00EF3B9A" w:rsidRPr="004F0128">
          <w:rPr>
            <w:b w:val="0"/>
            <w:bCs w:val="0"/>
            <w:noProof/>
            <w:webHidden/>
            <w:sz w:val="24"/>
            <w:szCs w:val="24"/>
          </w:rPr>
          <w:fldChar w:fldCharType="end"/>
        </w:r>
      </w:hyperlink>
    </w:p>
    <w:p w14:paraId="06E9BB9A" w14:textId="77777777" w:rsidR="00EF3B9A" w:rsidRPr="004F0128" w:rsidRDefault="009A4CFC" w:rsidP="00EF3B9A">
      <w:pPr>
        <w:pStyle w:val="TOC1"/>
        <w:tabs>
          <w:tab w:val="left" w:pos="480"/>
          <w:tab w:val="right" w:leader="dot" w:pos="9016"/>
        </w:tabs>
        <w:rPr>
          <w:rFonts w:eastAsiaTheme="minorEastAsia" w:cstheme="minorBidi"/>
          <w:b w:val="0"/>
          <w:bCs w:val="0"/>
          <w:i w:val="0"/>
          <w:iCs w:val="0"/>
          <w:noProof/>
          <w:lang w:eastAsia="en-GB"/>
        </w:rPr>
      </w:pPr>
      <w:hyperlink w:anchor="_Toc72956761" w:history="1">
        <w:r w:rsidR="00EF3B9A" w:rsidRPr="004F0128">
          <w:rPr>
            <w:rStyle w:val="Hyperlink"/>
            <w:rFonts w:eastAsia="Times New Roman"/>
            <w:b w:val="0"/>
            <w:bCs w:val="0"/>
            <w:i w:val="0"/>
            <w:iCs w:val="0"/>
            <w:noProof/>
          </w:rPr>
          <w:t>3.</w:t>
        </w:r>
        <w:r w:rsidR="00EF3B9A" w:rsidRPr="004F0128">
          <w:rPr>
            <w:rFonts w:eastAsiaTheme="minorEastAsia" w:cstheme="minorBidi"/>
            <w:b w:val="0"/>
            <w:bCs w:val="0"/>
            <w:i w:val="0"/>
            <w:iCs w:val="0"/>
            <w:noProof/>
            <w:lang w:eastAsia="en-GB"/>
          </w:rPr>
          <w:tab/>
        </w:r>
        <w:r w:rsidR="00EF3B9A" w:rsidRPr="004F0128">
          <w:rPr>
            <w:rStyle w:val="Hyperlink"/>
            <w:rFonts w:eastAsia="Times New Roman"/>
            <w:b w:val="0"/>
            <w:bCs w:val="0"/>
            <w:i w:val="0"/>
            <w:iCs w:val="0"/>
            <w:noProof/>
          </w:rPr>
          <w:t>Avoiding the status gap</w:t>
        </w:r>
        <w:r w:rsidR="00EF3B9A" w:rsidRPr="004F0128">
          <w:rPr>
            <w:b w:val="0"/>
            <w:bCs w:val="0"/>
            <w:i w:val="0"/>
            <w:iCs w:val="0"/>
            <w:noProof/>
            <w:webHidden/>
          </w:rPr>
          <w:tab/>
        </w:r>
        <w:r w:rsidR="00EF3B9A" w:rsidRPr="004F0128">
          <w:rPr>
            <w:b w:val="0"/>
            <w:bCs w:val="0"/>
            <w:i w:val="0"/>
            <w:iCs w:val="0"/>
            <w:noProof/>
            <w:webHidden/>
          </w:rPr>
          <w:fldChar w:fldCharType="begin"/>
        </w:r>
        <w:r w:rsidR="00EF3B9A" w:rsidRPr="004F0128">
          <w:rPr>
            <w:b w:val="0"/>
            <w:bCs w:val="0"/>
            <w:i w:val="0"/>
            <w:iCs w:val="0"/>
            <w:noProof/>
            <w:webHidden/>
          </w:rPr>
          <w:instrText xml:space="preserve"> PAGEREF _Toc72956761 \h </w:instrText>
        </w:r>
        <w:r w:rsidR="00EF3B9A" w:rsidRPr="004F0128">
          <w:rPr>
            <w:b w:val="0"/>
            <w:bCs w:val="0"/>
            <w:i w:val="0"/>
            <w:iCs w:val="0"/>
            <w:noProof/>
            <w:webHidden/>
          </w:rPr>
        </w:r>
        <w:r w:rsidR="00EF3B9A" w:rsidRPr="004F0128">
          <w:rPr>
            <w:b w:val="0"/>
            <w:bCs w:val="0"/>
            <w:i w:val="0"/>
            <w:iCs w:val="0"/>
            <w:noProof/>
            <w:webHidden/>
          </w:rPr>
          <w:fldChar w:fldCharType="separate"/>
        </w:r>
        <w:r w:rsidR="00EF3B9A" w:rsidRPr="004F0128">
          <w:rPr>
            <w:b w:val="0"/>
            <w:bCs w:val="0"/>
            <w:i w:val="0"/>
            <w:iCs w:val="0"/>
            <w:noProof/>
            <w:webHidden/>
          </w:rPr>
          <w:t>11</w:t>
        </w:r>
        <w:r w:rsidR="00EF3B9A" w:rsidRPr="004F0128">
          <w:rPr>
            <w:b w:val="0"/>
            <w:bCs w:val="0"/>
            <w:i w:val="0"/>
            <w:iCs w:val="0"/>
            <w:noProof/>
            <w:webHidden/>
          </w:rPr>
          <w:fldChar w:fldCharType="end"/>
        </w:r>
      </w:hyperlink>
    </w:p>
    <w:p w14:paraId="4FCEB72B" w14:textId="77777777" w:rsidR="00EF3B9A" w:rsidRPr="004F0128" w:rsidRDefault="009A4CFC" w:rsidP="00EF3B9A">
      <w:pPr>
        <w:pStyle w:val="TOC2"/>
        <w:tabs>
          <w:tab w:val="right" w:leader="dot" w:pos="9016"/>
        </w:tabs>
        <w:rPr>
          <w:rFonts w:eastAsiaTheme="minorEastAsia" w:cstheme="minorBidi"/>
          <w:b w:val="0"/>
          <w:bCs w:val="0"/>
          <w:noProof/>
          <w:sz w:val="24"/>
          <w:szCs w:val="24"/>
          <w:lang w:eastAsia="en-GB"/>
        </w:rPr>
      </w:pPr>
      <w:hyperlink w:anchor="_Toc72956762" w:history="1">
        <w:r w:rsidR="00EF3B9A" w:rsidRPr="004F0128">
          <w:rPr>
            <w:rStyle w:val="Hyperlink"/>
            <w:rFonts w:eastAsia="Times New Roman"/>
            <w:b w:val="0"/>
            <w:bCs w:val="0"/>
            <w:noProof/>
            <w:sz w:val="24"/>
            <w:szCs w:val="24"/>
          </w:rPr>
          <w:t>Background</w:t>
        </w:r>
        <w:r w:rsidR="00EF3B9A" w:rsidRPr="004F0128">
          <w:rPr>
            <w:b w:val="0"/>
            <w:bCs w:val="0"/>
            <w:noProof/>
            <w:webHidden/>
            <w:sz w:val="24"/>
            <w:szCs w:val="24"/>
          </w:rPr>
          <w:tab/>
        </w:r>
        <w:r w:rsidR="00EF3B9A" w:rsidRPr="004F0128">
          <w:rPr>
            <w:b w:val="0"/>
            <w:bCs w:val="0"/>
            <w:noProof/>
            <w:webHidden/>
            <w:sz w:val="24"/>
            <w:szCs w:val="24"/>
          </w:rPr>
          <w:fldChar w:fldCharType="begin"/>
        </w:r>
        <w:r w:rsidR="00EF3B9A" w:rsidRPr="004F0128">
          <w:rPr>
            <w:b w:val="0"/>
            <w:bCs w:val="0"/>
            <w:noProof/>
            <w:webHidden/>
            <w:sz w:val="24"/>
            <w:szCs w:val="24"/>
          </w:rPr>
          <w:instrText xml:space="preserve"> PAGEREF _Toc72956762 \h </w:instrText>
        </w:r>
        <w:r w:rsidR="00EF3B9A" w:rsidRPr="004F0128">
          <w:rPr>
            <w:b w:val="0"/>
            <w:bCs w:val="0"/>
            <w:noProof/>
            <w:webHidden/>
            <w:sz w:val="24"/>
            <w:szCs w:val="24"/>
          </w:rPr>
        </w:r>
        <w:r w:rsidR="00EF3B9A" w:rsidRPr="004F0128">
          <w:rPr>
            <w:b w:val="0"/>
            <w:bCs w:val="0"/>
            <w:noProof/>
            <w:webHidden/>
            <w:sz w:val="24"/>
            <w:szCs w:val="24"/>
          </w:rPr>
          <w:fldChar w:fldCharType="separate"/>
        </w:r>
        <w:r w:rsidR="00EF3B9A" w:rsidRPr="004F0128">
          <w:rPr>
            <w:b w:val="0"/>
            <w:bCs w:val="0"/>
            <w:noProof/>
            <w:webHidden/>
            <w:sz w:val="24"/>
            <w:szCs w:val="24"/>
          </w:rPr>
          <w:t>11</w:t>
        </w:r>
        <w:r w:rsidR="00EF3B9A" w:rsidRPr="004F0128">
          <w:rPr>
            <w:b w:val="0"/>
            <w:bCs w:val="0"/>
            <w:noProof/>
            <w:webHidden/>
            <w:sz w:val="24"/>
            <w:szCs w:val="24"/>
          </w:rPr>
          <w:fldChar w:fldCharType="end"/>
        </w:r>
      </w:hyperlink>
    </w:p>
    <w:p w14:paraId="4855DD9D" w14:textId="77777777" w:rsidR="00EF3B9A" w:rsidRPr="004F0128" w:rsidRDefault="009A4CFC" w:rsidP="00EF3B9A">
      <w:pPr>
        <w:pStyle w:val="TOC2"/>
        <w:tabs>
          <w:tab w:val="right" w:leader="dot" w:pos="9016"/>
        </w:tabs>
        <w:rPr>
          <w:rFonts w:eastAsiaTheme="minorEastAsia" w:cstheme="minorBidi"/>
          <w:b w:val="0"/>
          <w:bCs w:val="0"/>
          <w:noProof/>
          <w:sz w:val="24"/>
          <w:szCs w:val="24"/>
          <w:lang w:eastAsia="en-GB"/>
        </w:rPr>
      </w:pPr>
      <w:hyperlink w:anchor="_Toc72956763" w:history="1">
        <w:r w:rsidR="00EF3B9A" w:rsidRPr="004F0128">
          <w:rPr>
            <w:rStyle w:val="Hyperlink"/>
            <w:rFonts w:eastAsia="Times New Roman"/>
            <w:b w:val="0"/>
            <w:bCs w:val="0"/>
            <w:noProof/>
            <w:sz w:val="24"/>
            <w:szCs w:val="24"/>
          </w:rPr>
          <w:t>Proposal: providing for temporary rights to reside</w:t>
        </w:r>
        <w:r w:rsidR="00EF3B9A" w:rsidRPr="004F0128">
          <w:rPr>
            <w:b w:val="0"/>
            <w:bCs w:val="0"/>
            <w:noProof/>
            <w:webHidden/>
            <w:sz w:val="24"/>
            <w:szCs w:val="24"/>
          </w:rPr>
          <w:tab/>
        </w:r>
        <w:r w:rsidR="00EF3B9A" w:rsidRPr="004F0128">
          <w:rPr>
            <w:b w:val="0"/>
            <w:bCs w:val="0"/>
            <w:noProof/>
            <w:webHidden/>
            <w:sz w:val="24"/>
            <w:szCs w:val="24"/>
          </w:rPr>
          <w:fldChar w:fldCharType="begin"/>
        </w:r>
        <w:r w:rsidR="00EF3B9A" w:rsidRPr="004F0128">
          <w:rPr>
            <w:b w:val="0"/>
            <w:bCs w:val="0"/>
            <w:noProof/>
            <w:webHidden/>
            <w:sz w:val="24"/>
            <w:szCs w:val="24"/>
          </w:rPr>
          <w:instrText xml:space="preserve"> PAGEREF _Toc72956763 \h </w:instrText>
        </w:r>
        <w:r w:rsidR="00EF3B9A" w:rsidRPr="004F0128">
          <w:rPr>
            <w:b w:val="0"/>
            <w:bCs w:val="0"/>
            <w:noProof/>
            <w:webHidden/>
            <w:sz w:val="24"/>
            <w:szCs w:val="24"/>
          </w:rPr>
        </w:r>
        <w:r w:rsidR="00EF3B9A" w:rsidRPr="004F0128">
          <w:rPr>
            <w:b w:val="0"/>
            <w:bCs w:val="0"/>
            <w:noProof/>
            <w:webHidden/>
            <w:sz w:val="24"/>
            <w:szCs w:val="24"/>
          </w:rPr>
          <w:fldChar w:fldCharType="separate"/>
        </w:r>
        <w:r w:rsidR="00EF3B9A" w:rsidRPr="004F0128">
          <w:rPr>
            <w:b w:val="0"/>
            <w:bCs w:val="0"/>
            <w:noProof/>
            <w:webHidden/>
            <w:sz w:val="24"/>
            <w:szCs w:val="24"/>
          </w:rPr>
          <w:t>12</w:t>
        </w:r>
        <w:r w:rsidR="00EF3B9A" w:rsidRPr="004F0128">
          <w:rPr>
            <w:b w:val="0"/>
            <w:bCs w:val="0"/>
            <w:noProof/>
            <w:webHidden/>
            <w:sz w:val="24"/>
            <w:szCs w:val="24"/>
          </w:rPr>
          <w:fldChar w:fldCharType="end"/>
        </w:r>
      </w:hyperlink>
    </w:p>
    <w:p w14:paraId="2123A694" w14:textId="77777777" w:rsidR="00EF3B9A" w:rsidRPr="004F0128" w:rsidRDefault="009A4CFC" w:rsidP="00EF3B9A">
      <w:pPr>
        <w:pStyle w:val="TOC1"/>
        <w:tabs>
          <w:tab w:val="left" w:pos="480"/>
          <w:tab w:val="right" w:leader="dot" w:pos="9016"/>
        </w:tabs>
        <w:rPr>
          <w:rFonts w:eastAsiaTheme="minorEastAsia" w:cstheme="minorBidi"/>
          <w:b w:val="0"/>
          <w:bCs w:val="0"/>
          <w:i w:val="0"/>
          <w:iCs w:val="0"/>
          <w:noProof/>
          <w:lang w:eastAsia="en-GB"/>
        </w:rPr>
      </w:pPr>
      <w:hyperlink w:anchor="_Toc72956766" w:history="1">
        <w:r w:rsidR="00EF3B9A" w:rsidRPr="004F0128">
          <w:rPr>
            <w:rStyle w:val="Hyperlink"/>
            <w:b w:val="0"/>
            <w:bCs w:val="0"/>
            <w:i w:val="0"/>
            <w:iCs w:val="0"/>
            <w:noProof/>
          </w:rPr>
          <w:t>4.</w:t>
        </w:r>
        <w:r w:rsidR="00EF3B9A" w:rsidRPr="004F0128">
          <w:rPr>
            <w:rFonts w:eastAsiaTheme="minorEastAsia" w:cstheme="minorBidi"/>
            <w:b w:val="0"/>
            <w:bCs w:val="0"/>
            <w:i w:val="0"/>
            <w:iCs w:val="0"/>
            <w:noProof/>
            <w:lang w:eastAsia="en-GB"/>
          </w:rPr>
          <w:tab/>
        </w:r>
        <w:r w:rsidR="00EF3B9A" w:rsidRPr="004F0128">
          <w:rPr>
            <w:rStyle w:val="Hyperlink"/>
            <w:b w:val="0"/>
            <w:bCs w:val="0"/>
            <w:i w:val="0"/>
            <w:iCs w:val="0"/>
            <w:noProof/>
          </w:rPr>
          <w:t>Avoiding unnecessary delays that push applicants past the deadline</w:t>
        </w:r>
        <w:r w:rsidR="00EF3B9A" w:rsidRPr="004F0128">
          <w:rPr>
            <w:b w:val="0"/>
            <w:bCs w:val="0"/>
            <w:i w:val="0"/>
            <w:iCs w:val="0"/>
            <w:noProof/>
            <w:webHidden/>
          </w:rPr>
          <w:tab/>
        </w:r>
        <w:r w:rsidR="00EF3B9A" w:rsidRPr="004F0128">
          <w:rPr>
            <w:b w:val="0"/>
            <w:bCs w:val="0"/>
            <w:i w:val="0"/>
            <w:iCs w:val="0"/>
            <w:noProof/>
            <w:webHidden/>
          </w:rPr>
          <w:fldChar w:fldCharType="begin"/>
        </w:r>
        <w:r w:rsidR="00EF3B9A" w:rsidRPr="004F0128">
          <w:rPr>
            <w:b w:val="0"/>
            <w:bCs w:val="0"/>
            <w:i w:val="0"/>
            <w:iCs w:val="0"/>
            <w:noProof/>
            <w:webHidden/>
          </w:rPr>
          <w:instrText xml:space="preserve"> PAGEREF _Toc72956766 \h </w:instrText>
        </w:r>
        <w:r w:rsidR="00EF3B9A" w:rsidRPr="004F0128">
          <w:rPr>
            <w:b w:val="0"/>
            <w:bCs w:val="0"/>
            <w:i w:val="0"/>
            <w:iCs w:val="0"/>
            <w:noProof/>
            <w:webHidden/>
          </w:rPr>
        </w:r>
        <w:r w:rsidR="00EF3B9A" w:rsidRPr="004F0128">
          <w:rPr>
            <w:b w:val="0"/>
            <w:bCs w:val="0"/>
            <w:i w:val="0"/>
            <w:iCs w:val="0"/>
            <w:noProof/>
            <w:webHidden/>
          </w:rPr>
          <w:fldChar w:fldCharType="separate"/>
        </w:r>
        <w:r w:rsidR="00EF3B9A" w:rsidRPr="004F0128">
          <w:rPr>
            <w:b w:val="0"/>
            <w:bCs w:val="0"/>
            <w:i w:val="0"/>
            <w:iCs w:val="0"/>
            <w:noProof/>
            <w:webHidden/>
          </w:rPr>
          <w:t>13</w:t>
        </w:r>
        <w:r w:rsidR="00EF3B9A" w:rsidRPr="004F0128">
          <w:rPr>
            <w:b w:val="0"/>
            <w:bCs w:val="0"/>
            <w:i w:val="0"/>
            <w:iCs w:val="0"/>
            <w:noProof/>
            <w:webHidden/>
          </w:rPr>
          <w:fldChar w:fldCharType="end"/>
        </w:r>
      </w:hyperlink>
    </w:p>
    <w:p w14:paraId="6FBA4DBC" w14:textId="77777777" w:rsidR="00EF3B9A" w:rsidRPr="004F0128" w:rsidRDefault="009A4CFC" w:rsidP="00EF3B9A">
      <w:pPr>
        <w:pStyle w:val="TOC2"/>
        <w:tabs>
          <w:tab w:val="right" w:leader="dot" w:pos="9016"/>
        </w:tabs>
        <w:rPr>
          <w:rFonts w:eastAsiaTheme="minorEastAsia" w:cstheme="minorBidi"/>
          <w:b w:val="0"/>
          <w:bCs w:val="0"/>
          <w:noProof/>
          <w:sz w:val="24"/>
          <w:szCs w:val="24"/>
          <w:lang w:eastAsia="en-GB"/>
        </w:rPr>
      </w:pPr>
      <w:hyperlink w:anchor="_Toc72956767" w:history="1">
        <w:r w:rsidR="00EF3B9A" w:rsidRPr="004F0128">
          <w:rPr>
            <w:rStyle w:val="Hyperlink"/>
            <w:b w:val="0"/>
            <w:bCs w:val="0"/>
            <w:noProof/>
            <w:sz w:val="24"/>
            <w:szCs w:val="24"/>
          </w:rPr>
          <w:t>Background</w:t>
        </w:r>
        <w:r w:rsidR="00EF3B9A" w:rsidRPr="004F0128">
          <w:rPr>
            <w:b w:val="0"/>
            <w:bCs w:val="0"/>
            <w:noProof/>
            <w:webHidden/>
            <w:sz w:val="24"/>
            <w:szCs w:val="24"/>
          </w:rPr>
          <w:tab/>
        </w:r>
        <w:r w:rsidR="00EF3B9A" w:rsidRPr="004F0128">
          <w:rPr>
            <w:b w:val="0"/>
            <w:bCs w:val="0"/>
            <w:noProof/>
            <w:webHidden/>
            <w:sz w:val="24"/>
            <w:szCs w:val="24"/>
          </w:rPr>
          <w:fldChar w:fldCharType="begin"/>
        </w:r>
        <w:r w:rsidR="00EF3B9A" w:rsidRPr="004F0128">
          <w:rPr>
            <w:b w:val="0"/>
            <w:bCs w:val="0"/>
            <w:noProof/>
            <w:webHidden/>
            <w:sz w:val="24"/>
            <w:szCs w:val="24"/>
          </w:rPr>
          <w:instrText xml:space="preserve"> PAGEREF _Toc72956767 \h </w:instrText>
        </w:r>
        <w:r w:rsidR="00EF3B9A" w:rsidRPr="004F0128">
          <w:rPr>
            <w:b w:val="0"/>
            <w:bCs w:val="0"/>
            <w:noProof/>
            <w:webHidden/>
            <w:sz w:val="24"/>
            <w:szCs w:val="24"/>
          </w:rPr>
        </w:r>
        <w:r w:rsidR="00EF3B9A" w:rsidRPr="004F0128">
          <w:rPr>
            <w:b w:val="0"/>
            <w:bCs w:val="0"/>
            <w:noProof/>
            <w:webHidden/>
            <w:sz w:val="24"/>
            <w:szCs w:val="24"/>
          </w:rPr>
          <w:fldChar w:fldCharType="separate"/>
        </w:r>
        <w:r w:rsidR="00EF3B9A" w:rsidRPr="004F0128">
          <w:rPr>
            <w:b w:val="0"/>
            <w:bCs w:val="0"/>
            <w:noProof/>
            <w:webHidden/>
            <w:sz w:val="24"/>
            <w:szCs w:val="24"/>
          </w:rPr>
          <w:t>13</w:t>
        </w:r>
        <w:r w:rsidR="00EF3B9A" w:rsidRPr="004F0128">
          <w:rPr>
            <w:b w:val="0"/>
            <w:bCs w:val="0"/>
            <w:noProof/>
            <w:webHidden/>
            <w:sz w:val="24"/>
            <w:szCs w:val="24"/>
          </w:rPr>
          <w:fldChar w:fldCharType="end"/>
        </w:r>
      </w:hyperlink>
    </w:p>
    <w:p w14:paraId="59451A8F" w14:textId="77777777" w:rsidR="00EF3B9A" w:rsidRPr="004F0128" w:rsidRDefault="009A4CFC" w:rsidP="00EF3B9A">
      <w:pPr>
        <w:pStyle w:val="TOC2"/>
        <w:tabs>
          <w:tab w:val="right" w:leader="dot" w:pos="9016"/>
        </w:tabs>
        <w:rPr>
          <w:rFonts w:eastAsiaTheme="minorEastAsia" w:cstheme="minorBidi"/>
          <w:b w:val="0"/>
          <w:bCs w:val="0"/>
          <w:noProof/>
          <w:sz w:val="24"/>
          <w:szCs w:val="24"/>
          <w:lang w:eastAsia="en-GB"/>
        </w:rPr>
      </w:pPr>
      <w:hyperlink w:anchor="_Toc72956768" w:history="1">
        <w:r w:rsidR="00EF3B9A" w:rsidRPr="004F0128">
          <w:rPr>
            <w:rStyle w:val="Hyperlink"/>
            <w:b w:val="0"/>
            <w:bCs w:val="0"/>
            <w:noProof/>
            <w:sz w:val="24"/>
            <w:szCs w:val="24"/>
          </w:rPr>
          <w:t>Proposals: data analysis</w:t>
        </w:r>
        <w:r w:rsidR="00EF3B9A" w:rsidRPr="004F0128">
          <w:rPr>
            <w:b w:val="0"/>
            <w:bCs w:val="0"/>
            <w:noProof/>
            <w:webHidden/>
            <w:sz w:val="24"/>
            <w:szCs w:val="24"/>
          </w:rPr>
          <w:tab/>
        </w:r>
        <w:r w:rsidR="00EF3B9A" w:rsidRPr="004F0128">
          <w:rPr>
            <w:b w:val="0"/>
            <w:bCs w:val="0"/>
            <w:noProof/>
            <w:webHidden/>
            <w:sz w:val="24"/>
            <w:szCs w:val="24"/>
          </w:rPr>
          <w:fldChar w:fldCharType="begin"/>
        </w:r>
        <w:r w:rsidR="00EF3B9A" w:rsidRPr="004F0128">
          <w:rPr>
            <w:b w:val="0"/>
            <w:bCs w:val="0"/>
            <w:noProof/>
            <w:webHidden/>
            <w:sz w:val="24"/>
            <w:szCs w:val="24"/>
          </w:rPr>
          <w:instrText xml:space="preserve"> PAGEREF _Toc72956768 \h </w:instrText>
        </w:r>
        <w:r w:rsidR="00EF3B9A" w:rsidRPr="004F0128">
          <w:rPr>
            <w:b w:val="0"/>
            <w:bCs w:val="0"/>
            <w:noProof/>
            <w:webHidden/>
            <w:sz w:val="24"/>
            <w:szCs w:val="24"/>
          </w:rPr>
        </w:r>
        <w:r w:rsidR="00EF3B9A" w:rsidRPr="004F0128">
          <w:rPr>
            <w:b w:val="0"/>
            <w:bCs w:val="0"/>
            <w:noProof/>
            <w:webHidden/>
            <w:sz w:val="24"/>
            <w:szCs w:val="24"/>
          </w:rPr>
          <w:fldChar w:fldCharType="separate"/>
        </w:r>
        <w:r w:rsidR="00EF3B9A" w:rsidRPr="004F0128">
          <w:rPr>
            <w:b w:val="0"/>
            <w:bCs w:val="0"/>
            <w:noProof/>
            <w:webHidden/>
            <w:sz w:val="24"/>
            <w:szCs w:val="24"/>
          </w:rPr>
          <w:t>14</w:t>
        </w:r>
        <w:r w:rsidR="00EF3B9A" w:rsidRPr="004F0128">
          <w:rPr>
            <w:b w:val="0"/>
            <w:bCs w:val="0"/>
            <w:noProof/>
            <w:webHidden/>
            <w:sz w:val="24"/>
            <w:szCs w:val="24"/>
          </w:rPr>
          <w:fldChar w:fldCharType="end"/>
        </w:r>
      </w:hyperlink>
    </w:p>
    <w:p w14:paraId="4B18C421" w14:textId="77777777" w:rsidR="00EF3B9A" w:rsidRPr="004F0128" w:rsidRDefault="009A4CFC" w:rsidP="00EF3B9A">
      <w:pPr>
        <w:pStyle w:val="TOC1"/>
        <w:tabs>
          <w:tab w:val="left" w:pos="480"/>
          <w:tab w:val="right" w:leader="dot" w:pos="9016"/>
        </w:tabs>
        <w:rPr>
          <w:rFonts w:eastAsiaTheme="minorEastAsia" w:cstheme="minorBidi"/>
          <w:b w:val="0"/>
          <w:bCs w:val="0"/>
          <w:i w:val="0"/>
          <w:iCs w:val="0"/>
          <w:noProof/>
          <w:lang w:eastAsia="en-GB"/>
        </w:rPr>
      </w:pPr>
      <w:hyperlink w:anchor="_Toc72956771" w:history="1">
        <w:r w:rsidR="00EF3B9A" w:rsidRPr="004F0128">
          <w:rPr>
            <w:rStyle w:val="Hyperlink"/>
            <w:b w:val="0"/>
            <w:bCs w:val="0"/>
            <w:i w:val="0"/>
            <w:iCs w:val="0"/>
            <w:noProof/>
          </w:rPr>
          <w:t>5.</w:t>
        </w:r>
        <w:r w:rsidR="00EF3B9A" w:rsidRPr="004F0128">
          <w:rPr>
            <w:rFonts w:eastAsiaTheme="minorEastAsia" w:cstheme="minorBidi"/>
            <w:b w:val="0"/>
            <w:bCs w:val="0"/>
            <w:i w:val="0"/>
            <w:iCs w:val="0"/>
            <w:noProof/>
            <w:lang w:eastAsia="en-GB"/>
          </w:rPr>
          <w:tab/>
        </w:r>
        <w:r w:rsidR="00EF3B9A" w:rsidRPr="004F0128">
          <w:rPr>
            <w:rStyle w:val="Hyperlink"/>
            <w:b w:val="0"/>
            <w:bCs w:val="0"/>
            <w:i w:val="0"/>
            <w:iCs w:val="0"/>
            <w:noProof/>
          </w:rPr>
          <w:t>Ensuring consistency in decision making for late applications</w:t>
        </w:r>
        <w:r w:rsidR="00EF3B9A" w:rsidRPr="004F0128">
          <w:rPr>
            <w:b w:val="0"/>
            <w:bCs w:val="0"/>
            <w:i w:val="0"/>
            <w:iCs w:val="0"/>
            <w:noProof/>
            <w:webHidden/>
          </w:rPr>
          <w:tab/>
        </w:r>
        <w:r w:rsidR="00EF3B9A" w:rsidRPr="004F0128">
          <w:rPr>
            <w:b w:val="0"/>
            <w:bCs w:val="0"/>
            <w:i w:val="0"/>
            <w:iCs w:val="0"/>
            <w:noProof/>
            <w:webHidden/>
          </w:rPr>
          <w:fldChar w:fldCharType="begin"/>
        </w:r>
        <w:r w:rsidR="00EF3B9A" w:rsidRPr="004F0128">
          <w:rPr>
            <w:b w:val="0"/>
            <w:bCs w:val="0"/>
            <w:i w:val="0"/>
            <w:iCs w:val="0"/>
            <w:noProof/>
            <w:webHidden/>
          </w:rPr>
          <w:instrText xml:space="preserve"> PAGEREF _Toc72956771 \h </w:instrText>
        </w:r>
        <w:r w:rsidR="00EF3B9A" w:rsidRPr="004F0128">
          <w:rPr>
            <w:b w:val="0"/>
            <w:bCs w:val="0"/>
            <w:i w:val="0"/>
            <w:iCs w:val="0"/>
            <w:noProof/>
            <w:webHidden/>
          </w:rPr>
        </w:r>
        <w:r w:rsidR="00EF3B9A" w:rsidRPr="004F0128">
          <w:rPr>
            <w:b w:val="0"/>
            <w:bCs w:val="0"/>
            <w:i w:val="0"/>
            <w:iCs w:val="0"/>
            <w:noProof/>
            <w:webHidden/>
          </w:rPr>
          <w:fldChar w:fldCharType="separate"/>
        </w:r>
        <w:r w:rsidR="00EF3B9A" w:rsidRPr="004F0128">
          <w:rPr>
            <w:b w:val="0"/>
            <w:bCs w:val="0"/>
            <w:i w:val="0"/>
            <w:iCs w:val="0"/>
            <w:noProof/>
            <w:webHidden/>
          </w:rPr>
          <w:t>15</w:t>
        </w:r>
        <w:r w:rsidR="00EF3B9A" w:rsidRPr="004F0128">
          <w:rPr>
            <w:b w:val="0"/>
            <w:bCs w:val="0"/>
            <w:i w:val="0"/>
            <w:iCs w:val="0"/>
            <w:noProof/>
            <w:webHidden/>
          </w:rPr>
          <w:fldChar w:fldCharType="end"/>
        </w:r>
      </w:hyperlink>
    </w:p>
    <w:p w14:paraId="1028FA36" w14:textId="77777777" w:rsidR="00EF3B9A" w:rsidRPr="004F0128" w:rsidRDefault="009A4CFC" w:rsidP="00EF3B9A">
      <w:pPr>
        <w:pStyle w:val="TOC2"/>
        <w:tabs>
          <w:tab w:val="right" w:leader="dot" w:pos="9016"/>
        </w:tabs>
        <w:rPr>
          <w:rFonts w:eastAsiaTheme="minorEastAsia" w:cstheme="minorBidi"/>
          <w:b w:val="0"/>
          <w:bCs w:val="0"/>
          <w:noProof/>
          <w:sz w:val="24"/>
          <w:szCs w:val="24"/>
          <w:lang w:eastAsia="en-GB"/>
        </w:rPr>
      </w:pPr>
      <w:hyperlink w:anchor="_Toc72956772" w:history="1">
        <w:r w:rsidR="00EF3B9A" w:rsidRPr="004F0128">
          <w:rPr>
            <w:rStyle w:val="Hyperlink"/>
            <w:b w:val="0"/>
            <w:bCs w:val="0"/>
            <w:noProof/>
            <w:sz w:val="24"/>
            <w:szCs w:val="24"/>
          </w:rPr>
          <w:t>Background</w:t>
        </w:r>
        <w:r w:rsidR="00EF3B9A" w:rsidRPr="004F0128">
          <w:rPr>
            <w:b w:val="0"/>
            <w:bCs w:val="0"/>
            <w:noProof/>
            <w:webHidden/>
            <w:sz w:val="24"/>
            <w:szCs w:val="24"/>
          </w:rPr>
          <w:tab/>
        </w:r>
        <w:r w:rsidR="00EF3B9A" w:rsidRPr="004F0128">
          <w:rPr>
            <w:b w:val="0"/>
            <w:bCs w:val="0"/>
            <w:noProof/>
            <w:webHidden/>
            <w:sz w:val="24"/>
            <w:szCs w:val="24"/>
          </w:rPr>
          <w:fldChar w:fldCharType="begin"/>
        </w:r>
        <w:r w:rsidR="00EF3B9A" w:rsidRPr="004F0128">
          <w:rPr>
            <w:b w:val="0"/>
            <w:bCs w:val="0"/>
            <w:noProof/>
            <w:webHidden/>
            <w:sz w:val="24"/>
            <w:szCs w:val="24"/>
          </w:rPr>
          <w:instrText xml:space="preserve"> PAGEREF _Toc72956772 \h </w:instrText>
        </w:r>
        <w:r w:rsidR="00EF3B9A" w:rsidRPr="004F0128">
          <w:rPr>
            <w:b w:val="0"/>
            <w:bCs w:val="0"/>
            <w:noProof/>
            <w:webHidden/>
            <w:sz w:val="24"/>
            <w:szCs w:val="24"/>
          </w:rPr>
        </w:r>
        <w:r w:rsidR="00EF3B9A" w:rsidRPr="004F0128">
          <w:rPr>
            <w:b w:val="0"/>
            <w:bCs w:val="0"/>
            <w:noProof/>
            <w:webHidden/>
            <w:sz w:val="24"/>
            <w:szCs w:val="24"/>
          </w:rPr>
          <w:fldChar w:fldCharType="separate"/>
        </w:r>
        <w:r w:rsidR="00EF3B9A" w:rsidRPr="004F0128">
          <w:rPr>
            <w:b w:val="0"/>
            <w:bCs w:val="0"/>
            <w:noProof/>
            <w:webHidden/>
            <w:sz w:val="24"/>
            <w:szCs w:val="24"/>
          </w:rPr>
          <w:t>15</w:t>
        </w:r>
        <w:r w:rsidR="00EF3B9A" w:rsidRPr="004F0128">
          <w:rPr>
            <w:b w:val="0"/>
            <w:bCs w:val="0"/>
            <w:noProof/>
            <w:webHidden/>
            <w:sz w:val="24"/>
            <w:szCs w:val="24"/>
          </w:rPr>
          <w:fldChar w:fldCharType="end"/>
        </w:r>
      </w:hyperlink>
    </w:p>
    <w:p w14:paraId="0F13A364" w14:textId="77777777" w:rsidR="00EF3B9A" w:rsidRPr="004F0128" w:rsidRDefault="009A4CFC" w:rsidP="00EF3B9A">
      <w:pPr>
        <w:pStyle w:val="TOC2"/>
        <w:tabs>
          <w:tab w:val="right" w:leader="dot" w:pos="9016"/>
        </w:tabs>
        <w:rPr>
          <w:rFonts w:eastAsiaTheme="minorEastAsia" w:cstheme="minorBidi"/>
          <w:b w:val="0"/>
          <w:bCs w:val="0"/>
          <w:noProof/>
          <w:sz w:val="24"/>
          <w:szCs w:val="24"/>
          <w:lang w:eastAsia="en-GB"/>
        </w:rPr>
      </w:pPr>
      <w:hyperlink w:anchor="_Toc72956773" w:history="1">
        <w:r w:rsidR="00EF3B9A" w:rsidRPr="004F0128">
          <w:rPr>
            <w:rStyle w:val="Hyperlink"/>
            <w:b w:val="0"/>
            <w:bCs w:val="0"/>
            <w:noProof/>
            <w:sz w:val="24"/>
            <w:szCs w:val="24"/>
          </w:rPr>
          <w:t>Proposal: Training, monitoring, reporting &amp; recording</w:t>
        </w:r>
        <w:r w:rsidR="00EF3B9A" w:rsidRPr="004F0128">
          <w:rPr>
            <w:b w:val="0"/>
            <w:bCs w:val="0"/>
            <w:noProof/>
            <w:webHidden/>
            <w:sz w:val="24"/>
            <w:szCs w:val="24"/>
          </w:rPr>
          <w:tab/>
        </w:r>
        <w:r w:rsidR="00EF3B9A" w:rsidRPr="004F0128">
          <w:rPr>
            <w:b w:val="0"/>
            <w:bCs w:val="0"/>
            <w:noProof/>
            <w:webHidden/>
            <w:sz w:val="24"/>
            <w:szCs w:val="24"/>
          </w:rPr>
          <w:fldChar w:fldCharType="begin"/>
        </w:r>
        <w:r w:rsidR="00EF3B9A" w:rsidRPr="004F0128">
          <w:rPr>
            <w:b w:val="0"/>
            <w:bCs w:val="0"/>
            <w:noProof/>
            <w:webHidden/>
            <w:sz w:val="24"/>
            <w:szCs w:val="24"/>
          </w:rPr>
          <w:instrText xml:space="preserve"> PAGEREF _Toc72956773 \h </w:instrText>
        </w:r>
        <w:r w:rsidR="00EF3B9A" w:rsidRPr="004F0128">
          <w:rPr>
            <w:b w:val="0"/>
            <w:bCs w:val="0"/>
            <w:noProof/>
            <w:webHidden/>
            <w:sz w:val="24"/>
            <w:szCs w:val="24"/>
          </w:rPr>
        </w:r>
        <w:r w:rsidR="00EF3B9A" w:rsidRPr="004F0128">
          <w:rPr>
            <w:b w:val="0"/>
            <w:bCs w:val="0"/>
            <w:noProof/>
            <w:webHidden/>
            <w:sz w:val="24"/>
            <w:szCs w:val="24"/>
          </w:rPr>
          <w:fldChar w:fldCharType="separate"/>
        </w:r>
        <w:r w:rsidR="00EF3B9A" w:rsidRPr="004F0128">
          <w:rPr>
            <w:b w:val="0"/>
            <w:bCs w:val="0"/>
            <w:noProof/>
            <w:webHidden/>
            <w:sz w:val="24"/>
            <w:szCs w:val="24"/>
          </w:rPr>
          <w:t>15</w:t>
        </w:r>
        <w:r w:rsidR="00EF3B9A" w:rsidRPr="004F0128">
          <w:rPr>
            <w:b w:val="0"/>
            <w:bCs w:val="0"/>
            <w:noProof/>
            <w:webHidden/>
            <w:sz w:val="24"/>
            <w:szCs w:val="24"/>
          </w:rPr>
          <w:fldChar w:fldCharType="end"/>
        </w:r>
      </w:hyperlink>
    </w:p>
    <w:p w14:paraId="6EC12C69" w14:textId="03385B8A" w:rsidR="009D556D" w:rsidRDefault="00EF3B9A" w:rsidP="00EF3B9A">
      <w:pPr>
        <w:rPr>
          <w:b/>
          <w:bCs/>
          <w:noProof/>
        </w:rPr>
      </w:pPr>
      <w:r>
        <w:rPr>
          <w:b/>
          <w:bCs/>
          <w:noProof/>
        </w:rPr>
        <w:fldChar w:fldCharType="end"/>
      </w:r>
      <w:r>
        <w:rPr>
          <w:b/>
          <w:bCs/>
          <w:noProof/>
        </w:rPr>
        <w:t xml:space="preserve"> </w:t>
      </w:r>
      <w:r w:rsidR="009D556D">
        <w:rPr>
          <w:b/>
          <w:bCs/>
          <w:noProof/>
        </w:rPr>
        <w:br w:type="page"/>
      </w:r>
    </w:p>
    <w:p w14:paraId="2F52FAC1" w14:textId="1268C9A5" w:rsidR="00493E18" w:rsidRPr="00493E18" w:rsidRDefault="00493E18" w:rsidP="007B00DC">
      <w:pPr>
        <w:pStyle w:val="Heading1"/>
        <w:numPr>
          <w:ilvl w:val="0"/>
          <w:numId w:val="45"/>
        </w:numPr>
        <w:rPr>
          <w:rStyle w:val="Heading2Char"/>
          <w:sz w:val="32"/>
          <w:szCs w:val="32"/>
        </w:rPr>
      </w:pPr>
      <w:bookmarkStart w:id="2" w:name="_Toc72956744"/>
      <w:r w:rsidRPr="00493E18">
        <w:rPr>
          <w:rStyle w:val="Heading2Char"/>
          <w:sz w:val="32"/>
          <w:szCs w:val="32"/>
        </w:rPr>
        <w:lastRenderedPageBreak/>
        <w:t xml:space="preserve">Reaching EEA+ nationals who have not yet applied to the </w:t>
      </w:r>
      <w:proofErr w:type="gramStart"/>
      <w:r w:rsidRPr="00493E18">
        <w:rPr>
          <w:rStyle w:val="Heading2Char"/>
          <w:sz w:val="32"/>
          <w:szCs w:val="32"/>
        </w:rPr>
        <w:t>scheme</w:t>
      </w:r>
      <w:bookmarkEnd w:id="2"/>
      <w:proofErr w:type="gramEnd"/>
    </w:p>
    <w:p w14:paraId="56CB0552" w14:textId="77777777" w:rsidR="00493E18" w:rsidRDefault="00493E18" w:rsidP="00493E18">
      <w:pPr>
        <w:spacing w:after="240"/>
        <w:rPr>
          <w:i/>
          <w:iCs/>
        </w:rPr>
      </w:pPr>
    </w:p>
    <w:p w14:paraId="4553F9D7" w14:textId="2CA87CDD" w:rsidR="00493E18" w:rsidRPr="00493E18" w:rsidRDefault="00493E18" w:rsidP="00493E18">
      <w:pPr>
        <w:pStyle w:val="Heading2"/>
      </w:pPr>
      <w:bookmarkStart w:id="3" w:name="_Toc72956745"/>
      <w:r w:rsidRPr="00493E18">
        <w:t>Background</w:t>
      </w:r>
      <w:bookmarkEnd w:id="3"/>
    </w:p>
    <w:p w14:paraId="41A47C01" w14:textId="79553557" w:rsidR="00493E18" w:rsidRDefault="00493E18" w:rsidP="00383C2C">
      <w:r w:rsidRPr="00662229">
        <w:t>Back in April 2019, then Home Secretary stated that the funding to assist vulnerable applicants would ‘ensure no one is left behind’.</w:t>
      </w:r>
      <w:r>
        <w:rPr>
          <w:rStyle w:val="FootnoteReference"/>
        </w:rPr>
        <w:footnoteReference w:id="1"/>
      </w:r>
      <w:r w:rsidRPr="00662229">
        <w:t xml:space="preserve"> It is now clear, however that there will be a significant minority of EEA</w:t>
      </w:r>
      <w:r w:rsidR="007B00DC">
        <w:t>+</w:t>
      </w:r>
      <w:r w:rsidRPr="00662229">
        <w:t xml:space="preserve"> nationals</w:t>
      </w:r>
      <w:r w:rsidR="007B00DC" w:rsidRPr="008941FE">
        <w:rPr>
          <w:vertAlign w:val="superscript"/>
        </w:rPr>
        <w:footnoteReference w:id="2"/>
      </w:r>
      <w:r w:rsidR="007B00DC">
        <w:t xml:space="preserve"> </w:t>
      </w:r>
      <w:r w:rsidRPr="00662229">
        <w:t xml:space="preserve"> who fail to register by the deadline, and who will thus be ‘left behind’. If they do not qualify as having ‘reasonable grounds’ for missing the deadline,</w:t>
      </w:r>
      <w:r>
        <w:rPr>
          <w:rStyle w:val="FootnoteReference"/>
        </w:rPr>
        <w:footnoteReference w:id="3"/>
      </w:r>
      <w:r w:rsidRPr="00662229">
        <w:t xml:space="preserve"> they automatically and irreversibly lose their right to reside, and lose any accrued rights, as registration is part and parcel of the right to reside (it is a constitutive, not declaratory scheme). They will then be subject to the hostile environment, and potentially to removal.</w:t>
      </w:r>
      <w:r>
        <w:rPr>
          <w:rStyle w:val="FootnoteReference"/>
        </w:rPr>
        <w:footnoteReference w:id="4"/>
      </w:r>
    </w:p>
    <w:p w14:paraId="5C08C6D8" w14:textId="30A53086" w:rsidR="00493E18" w:rsidRDefault="00493E18" w:rsidP="00383C2C">
      <w:proofErr w:type="gramStart"/>
      <w:r w:rsidRPr="00662229">
        <w:t>A number of</w:t>
      </w:r>
      <w:proofErr w:type="gramEnd"/>
      <w:r w:rsidRPr="00662229">
        <w:t xml:space="preserve"> recent studies give considerable cause for concern with regard to the number of EEA+ nationals unaware of the scheme, or of the deadline.  JCWI published </w:t>
      </w:r>
      <w:r w:rsidRPr="002D7755">
        <w:t>a report</w:t>
      </w:r>
      <w:r w:rsidRPr="00662229">
        <w:t xml:space="preserve"> in January 2021 on their survey of 300 care workers.</w:t>
      </w:r>
      <w:r>
        <w:rPr>
          <w:rStyle w:val="FootnoteReference"/>
        </w:rPr>
        <w:footnoteReference w:id="5"/>
      </w:r>
      <w:r w:rsidRPr="00662229">
        <w:t xml:space="preserve"> They found that 1 in 7 did not know, or were not sure what the EUSS was, and 1 in 3 did not know about the deadline. The </w:t>
      </w:r>
      <w:r w:rsidRPr="002D7755">
        <w:t>Social Market Foundation</w:t>
      </w:r>
      <w:r w:rsidRPr="00662229">
        <w:t xml:space="preserve"> published a report in September 2020, drawing upon 90 interviews with EU migrants in low skilled work. They found that: “Barely half of interviewees were aware of the EU Settlement Scheme (EUSS). Even among those intending to stay in the UK past the cut off point for applying to the Scheme, over 40% said they were unaware of it”.</w:t>
      </w:r>
      <w:r>
        <w:rPr>
          <w:rStyle w:val="FootnoteReference"/>
        </w:rPr>
        <w:footnoteReference w:id="6"/>
      </w:r>
      <w:r>
        <w:t xml:space="preserve"> It is not clear, from the new guidance, that just not being aware of the scheme or a need to apply will be enough to be considered ‘reasonable grounds’ for a late application. </w:t>
      </w:r>
    </w:p>
    <w:p w14:paraId="4C435E4B" w14:textId="05865567" w:rsidR="007E4CE8" w:rsidRDefault="007E4CE8">
      <w:r>
        <w:br w:type="page"/>
      </w:r>
    </w:p>
    <w:p w14:paraId="6E1A1791" w14:textId="01C9E5B9" w:rsidR="00493E18" w:rsidRDefault="00493E18" w:rsidP="00383C2C">
      <w:pPr>
        <w:pStyle w:val="Heading2"/>
      </w:pPr>
      <w:bookmarkStart w:id="4" w:name="_Toc72956746"/>
      <w:r w:rsidRPr="009A604F">
        <w:lastRenderedPageBreak/>
        <w:t xml:space="preserve">Proposed </w:t>
      </w:r>
      <w:r w:rsidRPr="00383C2C">
        <w:t>communications</w:t>
      </w:r>
      <w:r w:rsidRPr="009A604F">
        <w:t xml:space="preserve"> strategy:</w:t>
      </w:r>
      <w:bookmarkEnd w:id="4"/>
    </w:p>
    <w:p w14:paraId="3E13559E" w14:textId="77777777" w:rsidR="00383C2C" w:rsidRPr="00383C2C" w:rsidRDefault="00383C2C" w:rsidP="00383C2C">
      <w:pPr>
        <w:pStyle w:val="NoSpacing"/>
      </w:pPr>
    </w:p>
    <w:p w14:paraId="508D820C" w14:textId="63E22B8B" w:rsidR="00493E18" w:rsidRPr="00383C2C" w:rsidRDefault="00383C2C" w:rsidP="00383C2C">
      <w:pPr>
        <w:spacing w:after="240"/>
        <w:jc w:val="both"/>
        <w:rPr>
          <w:b/>
          <w:bCs/>
        </w:rPr>
      </w:pPr>
      <w:bookmarkStart w:id="5" w:name="_Toc72956747"/>
      <w:r w:rsidRPr="00A27F2A">
        <w:rPr>
          <w:rStyle w:val="Heading3Char"/>
          <w:rFonts w:ascii="Calibri" w:hAnsi="Calibri" w:cs="Calibri"/>
          <w:b/>
          <w:bCs/>
        </w:rPr>
        <w:t xml:space="preserve">1.  </w:t>
      </w:r>
      <w:r w:rsidR="00493E18" w:rsidRPr="00A27F2A">
        <w:rPr>
          <w:rStyle w:val="Heading3Char"/>
          <w:rFonts w:ascii="Calibri" w:hAnsi="Calibri" w:cs="Calibri"/>
          <w:b/>
          <w:bCs/>
        </w:rPr>
        <w:t>Scoping:</w:t>
      </w:r>
      <w:bookmarkEnd w:id="5"/>
      <w:r w:rsidR="00493E18" w:rsidRPr="00383C2C">
        <w:rPr>
          <w:rStyle w:val="Heading3Char"/>
          <w:rFonts w:ascii="Calibri" w:hAnsi="Calibri" w:cs="Calibri"/>
          <w:b/>
          <w:bCs/>
          <w:i/>
          <w:iCs/>
        </w:rPr>
        <w:t xml:space="preserve"> </w:t>
      </w:r>
      <w:r w:rsidR="00493E18" w:rsidRPr="00383C2C">
        <w:rPr>
          <w:b/>
          <w:bCs/>
        </w:rPr>
        <w:t xml:space="preserve">As the deadline is the end of next month, we recommend urgent action to assess the scale of the problem, and to ascertain the number of people at risk of being unregistered on the </w:t>
      </w:r>
      <w:proofErr w:type="gramStart"/>
      <w:r w:rsidR="00493E18" w:rsidRPr="00383C2C">
        <w:rPr>
          <w:b/>
          <w:bCs/>
        </w:rPr>
        <w:t>1</w:t>
      </w:r>
      <w:r w:rsidR="00493E18" w:rsidRPr="00383C2C">
        <w:rPr>
          <w:b/>
          <w:bCs/>
          <w:vertAlign w:val="superscript"/>
        </w:rPr>
        <w:t>st</w:t>
      </w:r>
      <w:proofErr w:type="gramEnd"/>
      <w:r w:rsidR="00493E18" w:rsidRPr="00383C2C">
        <w:rPr>
          <w:b/>
          <w:bCs/>
        </w:rPr>
        <w:t xml:space="preserve"> July 2021. </w:t>
      </w:r>
      <w:r w:rsidR="00493E18" w:rsidRPr="008941FE">
        <w:t xml:space="preserve">The Home Office could helpfully report back on the targets set, </w:t>
      </w:r>
      <w:proofErr w:type="gramStart"/>
      <w:r w:rsidR="00493E18" w:rsidRPr="008941FE">
        <w:t>met</w:t>
      </w:r>
      <w:proofErr w:type="gramEnd"/>
      <w:r w:rsidR="00493E18" w:rsidRPr="008941FE">
        <w:t xml:space="preserve"> and missed by the organisations receiving EUSS community support funding.</w:t>
      </w:r>
      <w:r w:rsidR="00493E18">
        <w:rPr>
          <w:rStyle w:val="FootnoteReference"/>
        </w:rPr>
        <w:footnoteReference w:id="7"/>
      </w:r>
      <w:r w:rsidR="00493E18" w:rsidRPr="008941FE">
        <w:t xml:space="preserve"> </w:t>
      </w:r>
    </w:p>
    <w:p w14:paraId="5FC2ED9C" w14:textId="217F8CB8" w:rsidR="00493E18" w:rsidRPr="00493E18" w:rsidRDefault="00383C2C" w:rsidP="00493E18">
      <w:pPr>
        <w:spacing w:after="240"/>
        <w:jc w:val="both"/>
        <w:rPr>
          <w:b/>
          <w:bCs/>
        </w:rPr>
      </w:pPr>
      <w:bookmarkStart w:id="6" w:name="_Toc72956748"/>
      <w:r w:rsidRPr="00A27F2A">
        <w:rPr>
          <w:rStyle w:val="Heading3Char"/>
          <w:rFonts w:ascii="Calibri" w:hAnsi="Calibri" w:cs="Calibri"/>
          <w:b/>
          <w:bCs/>
        </w:rPr>
        <w:t xml:space="preserve">2. </w:t>
      </w:r>
      <w:r w:rsidR="00493E18" w:rsidRPr="00A27F2A">
        <w:rPr>
          <w:rStyle w:val="Heading3Char"/>
          <w:rFonts w:ascii="Calibri" w:hAnsi="Calibri" w:cs="Calibri"/>
          <w:b/>
          <w:bCs/>
        </w:rPr>
        <w:t>Using government data</w:t>
      </w:r>
      <w:bookmarkEnd w:id="6"/>
      <w:r w:rsidR="00493E18" w:rsidRPr="00A27F2A">
        <w:t>:</w:t>
      </w:r>
      <w:r w:rsidR="00493E18">
        <w:t xml:space="preserve"> It is to be welcomed that the </w:t>
      </w:r>
      <w:r w:rsidR="00493E18" w:rsidRPr="008941FE">
        <w:t xml:space="preserve">Department for Work and Pensions </w:t>
      </w:r>
      <w:r w:rsidR="00493E18">
        <w:t>has been working with the Home Office to contact all</w:t>
      </w:r>
      <w:r w:rsidR="00493E18" w:rsidRPr="008941FE">
        <w:t xml:space="preserve"> EEA+ nationals currently in receipt of a benefit</w:t>
      </w:r>
      <w:r w:rsidR="00493E18">
        <w:t xml:space="preserve"> to inform them of the need to apply, if they have not done so already,</w:t>
      </w:r>
      <w:r w:rsidR="00493E18">
        <w:rPr>
          <w:rStyle w:val="FootnoteReference"/>
        </w:rPr>
        <w:footnoteReference w:id="8"/>
      </w:r>
      <w:r w:rsidR="00493E18">
        <w:t xml:space="preserve"> as b</w:t>
      </w:r>
      <w:r w:rsidR="00493E18" w:rsidRPr="008941FE">
        <w:t>enefit claimants are disproportionately more likely to be vulnerable.</w:t>
      </w:r>
      <w:r w:rsidR="00493E18">
        <w:t xml:space="preserve"> </w:t>
      </w:r>
    </w:p>
    <w:p w14:paraId="54225F0D" w14:textId="77777777" w:rsidR="00493E18" w:rsidRPr="00493E18" w:rsidRDefault="00493E18" w:rsidP="00493E18">
      <w:pPr>
        <w:spacing w:after="240"/>
        <w:jc w:val="both"/>
        <w:rPr>
          <w:b/>
          <w:bCs/>
        </w:rPr>
      </w:pPr>
      <w:r w:rsidRPr="00493E18">
        <w:rPr>
          <w:b/>
          <w:bCs/>
        </w:rPr>
        <w:t>The Home Office could also contact anyone holding an EEA+ family permit, or permanent residence certificate who has not yet applied</w:t>
      </w:r>
      <w:r>
        <w:t xml:space="preserve">. </w:t>
      </w:r>
    </w:p>
    <w:p w14:paraId="45A54658" w14:textId="39AD2C1C" w:rsidR="00493E18" w:rsidRPr="00493E18" w:rsidRDefault="00383C2C" w:rsidP="00493E18">
      <w:pPr>
        <w:spacing w:after="240"/>
        <w:jc w:val="both"/>
        <w:rPr>
          <w:b/>
          <w:bCs/>
        </w:rPr>
      </w:pPr>
      <w:bookmarkStart w:id="7" w:name="_Toc72956749"/>
      <w:r w:rsidRPr="00A27F2A">
        <w:rPr>
          <w:rStyle w:val="Heading3Char"/>
          <w:rFonts w:ascii="Calibri" w:hAnsi="Calibri" w:cs="Calibri"/>
          <w:b/>
          <w:bCs/>
        </w:rPr>
        <w:t xml:space="preserve">3. </w:t>
      </w:r>
      <w:r w:rsidR="00493E18" w:rsidRPr="00A27F2A">
        <w:rPr>
          <w:rStyle w:val="Heading3Char"/>
          <w:rFonts w:ascii="Calibri" w:hAnsi="Calibri" w:cs="Calibri"/>
          <w:b/>
          <w:bCs/>
        </w:rPr>
        <w:t>Targeting</w:t>
      </w:r>
      <w:bookmarkEnd w:id="7"/>
      <w:r w:rsidR="00493E18" w:rsidRPr="00A27F2A">
        <w:rPr>
          <w:b/>
          <w:bCs/>
        </w:rPr>
        <w:t>:</w:t>
      </w:r>
      <w:r w:rsidR="00493E18">
        <w:t xml:space="preserve"> </w:t>
      </w:r>
      <w:r w:rsidR="00493E18" w:rsidRPr="004F4BE3">
        <w:t xml:space="preserve">An EUSS communications strategy should target </w:t>
      </w:r>
      <w:r w:rsidR="00493E18">
        <w:t xml:space="preserve">both </w:t>
      </w:r>
      <w:r w:rsidR="00493E18" w:rsidRPr="00493E18">
        <w:rPr>
          <w:b/>
          <w:bCs/>
        </w:rPr>
        <w:t>social and private</w:t>
      </w:r>
      <w:r w:rsidR="00493E18">
        <w:t xml:space="preserve"> </w:t>
      </w:r>
      <w:r w:rsidR="00493E18" w:rsidRPr="00493E18">
        <w:rPr>
          <w:b/>
          <w:bCs/>
        </w:rPr>
        <w:t>care homes, retirement homes and supported housing</w:t>
      </w:r>
      <w:r w:rsidR="00493E18" w:rsidRPr="004F4BE3">
        <w:t>, as a way of identifying EEA+ national residents at risk of non-registration.</w:t>
      </w:r>
      <w:r w:rsidR="00493E18">
        <w:t xml:space="preserve"> O</w:t>
      </w:r>
      <w:r w:rsidR="00493E18" w:rsidRPr="008941FE">
        <w:t>lder EEA+ nationals are more likely to be disabled, to suffer technological exclusion, and to have conditions that reduce legal capacity. They may also be long term residents, and so under the misapprehension that their residence status has already been regularised.</w:t>
      </w:r>
      <w:r w:rsidR="00493E18">
        <w:rPr>
          <w:rStyle w:val="FootnoteReference"/>
        </w:rPr>
        <w:footnoteReference w:id="9"/>
      </w:r>
      <w:r w:rsidR="00493E18" w:rsidRPr="008941FE">
        <w:t xml:space="preserve"> </w:t>
      </w:r>
      <w:r w:rsidR="00493E18">
        <w:t>S</w:t>
      </w:r>
      <w:r w:rsidR="00493E18" w:rsidRPr="008941FE">
        <w:t xml:space="preserve">uch targeting should also reach the staff there. </w:t>
      </w:r>
    </w:p>
    <w:p w14:paraId="708888E4" w14:textId="324673D5" w:rsidR="007E4CE8" w:rsidRDefault="00493E18" w:rsidP="00493E18">
      <w:pPr>
        <w:spacing w:after="240"/>
        <w:jc w:val="both"/>
      </w:pPr>
      <w:r>
        <w:t xml:space="preserve">Other targets for communications include </w:t>
      </w:r>
      <w:r w:rsidRPr="00493E18">
        <w:rPr>
          <w:b/>
          <w:bCs/>
        </w:rPr>
        <w:t>social housing landlords</w:t>
      </w:r>
      <w:r>
        <w:t xml:space="preserve">, who could </w:t>
      </w:r>
      <w:r w:rsidRPr="008941FE">
        <w:t xml:space="preserve">contact their EEA+ tenants to check </w:t>
      </w:r>
      <w:proofErr w:type="gramStart"/>
      <w:r w:rsidRPr="008941FE">
        <w:t>whether or not</w:t>
      </w:r>
      <w:proofErr w:type="gramEnd"/>
      <w:r w:rsidRPr="008941FE">
        <w:t xml:space="preserve"> they have applied for </w:t>
      </w:r>
      <w:r>
        <w:t xml:space="preserve">the </w:t>
      </w:r>
      <w:r w:rsidRPr="008941FE">
        <w:t>EUSS, and to encourage them to do so if not. So far, we only have records of a local authority checking for EUSS</w:t>
      </w:r>
      <w:r>
        <w:t xml:space="preserve"> status</w:t>
      </w:r>
      <w:r w:rsidRPr="008941FE">
        <w:t xml:space="preserve"> to ascertain eligibility for social housing. </w:t>
      </w:r>
      <w:r w:rsidRPr="00493E18">
        <w:rPr>
          <w:b/>
          <w:bCs/>
        </w:rPr>
        <w:t>Social services</w:t>
      </w:r>
      <w:r w:rsidRPr="008941FE">
        <w:t xml:space="preserve"> </w:t>
      </w:r>
      <w:r>
        <w:t>could</w:t>
      </w:r>
      <w:r w:rsidRPr="008941FE">
        <w:t xml:space="preserve"> identify EEA+ nationals among their </w:t>
      </w:r>
      <w:proofErr w:type="gramStart"/>
      <w:r w:rsidRPr="008941FE">
        <w:t xml:space="preserve">clients, </w:t>
      </w:r>
      <w:r>
        <w:t>and</w:t>
      </w:r>
      <w:proofErr w:type="gramEnd"/>
      <w:r w:rsidRPr="008941FE">
        <w:t xml:space="preserve"> encourage EUSS applications</w:t>
      </w:r>
      <w:r>
        <w:t xml:space="preserve"> to be made</w:t>
      </w:r>
      <w:r w:rsidRPr="008941FE">
        <w:t xml:space="preserve">. </w:t>
      </w:r>
      <w:r>
        <w:t>The government could ask all o</w:t>
      </w:r>
      <w:r w:rsidRPr="008941FE">
        <w:t>rganisations who see</w:t>
      </w:r>
      <w:r>
        <w:t xml:space="preserve"> vulnerable</w:t>
      </w:r>
      <w:r w:rsidRPr="008941FE">
        <w:t xml:space="preserve"> individuals</w:t>
      </w:r>
      <w:r>
        <w:t xml:space="preserve"> </w:t>
      </w:r>
      <w:r w:rsidRPr="008941FE">
        <w:t xml:space="preserve">– </w:t>
      </w:r>
      <w:r w:rsidRPr="00493E18">
        <w:rPr>
          <w:b/>
          <w:bCs/>
        </w:rPr>
        <w:t>foodbanks, and homeless shelters</w:t>
      </w:r>
      <w:r w:rsidRPr="008941FE">
        <w:t xml:space="preserve"> – </w:t>
      </w:r>
      <w:r w:rsidRPr="00CC39CD">
        <w:t>to signpost the EUSS</w:t>
      </w:r>
      <w:r w:rsidRPr="008941FE">
        <w:t xml:space="preserve">. </w:t>
      </w:r>
    </w:p>
    <w:p w14:paraId="53D66E19" w14:textId="77777777" w:rsidR="007E4CE8" w:rsidRDefault="007E4CE8">
      <w:r>
        <w:br w:type="page"/>
      </w:r>
    </w:p>
    <w:p w14:paraId="763B014F" w14:textId="7D866125" w:rsidR="00383C2C" w:rsidRDefault="00856B41" w:rsidP="007B00DC">
      <w:pPr>
        <w:pStyle w:val="Heading1"/>
        <w:numPr>
          <w:ilvl w:val="0"/>
          <w:numId w:val="45"/>
        </w:numPr>
      </w:pPr>
      <w:bookmarkStart w:id="8" w:name="_Toc72956750"/>
      <w:r>
        <w:lastRenderedPageBreak/>
        <w:t>Protect</w:t>
      </w:r>
      <w:r w:rsidR="00383C2C" w:rsidRPr="003E7ED3">
        <w:t>ing</w:t>
      </w:r>
      <w:r w:rsidR="00383C2C" w:rsidRPr="00B223F3">
        <w:t xml:space="preserve"> late applica</w:t>
      </w:r>
      <w:r>
        <w:t>nt</w:t>
      </w:r>
      <w:r w:rsidR="00383C2C" w:rsidRPr="00B223F3">
        <w:t>s</w:t>
      </w:r>
      <w:bookmarkEnd w:id="8"/>
    </w:p>
    <w:p w14:paraId="4DB45120" w14:textId="77777777" w:rsidR="00383C2C" w:rsidRPr="00383C2C" w:rsidRDefault="00383C2C" w:rsidP="00383C2C"/>
    <w:p w14:paraId="31292B19" w14:textId="302E2B2C" w:rsidR="00383C2C" w:rsidRPr="00CC39CD" w:rsidRDefault="00383C2C" w:rsidP="00383C2C">
      <w:pPr>
        <w:pStyle w:val="Heading2"/>
      </w:pPr>
      <w:bookmarkStart w:id="9" w:name="_Toc72956751"/>
      <w:r w:rsidRPr="00CC39CD">
        <w:t>Background</w:t>
      </w:r>
      <w:bookmarkEnd w:id="9"/>
    </w:p>
    <w:p w14:paraId="6C8B090C" w14:textId="77777777" w:rsidR="00A27F2A" w:rsidRDefault="00A27F2A" w:rsidP="00A27F2A">
      <w:pPr>
        <w:pStyle w:val="NoSpacing"/>
      </w:pPr>
    </w:p>
    <w:p w14:paraId="136735C0" w14:textId="550644D2" w:rsidR="00383C2C" w:rsidRPr="00383C2C" w:rsidRDefault="00383C2C" w:rsidP="00A27F2A">
      <w:pPr>
        <w:rPr>
          <w:b/>
          <w:bCs/>
        </w:rPr>
      </w:pPr>
      <w:r>
        <w:t xml:space="preserve">The Home Office’s new guidance, updated in April 2021, includes details on what will be considered ‘reasonable grounds’ for submitting an application after the </w:t>
      </w:r>
      <w:proofErr w:type="gramStart"/>
      <w:r>
        <w:t>30</w:t>
      </w:r>
      <w:r w:rsidRPr="00383C2C">
        <w:rPr>
          <w:vertAlign w:val="superscript"/>
        </w:rPr>
        <w:t>th</w:t>
      </w:r>
      <w:proofErr w:type="gramEnd"/>
      <w:r>
        <w:t xml:space="preserve"> June 2021 deadline. Caseworkers have been given discretion to consider a wide range of circumstances including where the applicant is a child, lacks capacity or requires care, is a victim of abuse or trafficking, is digitally excluded or whether there were other good reasons based on individual circumstances for missing the deadline. While the flexibility of this guidance is welcomed, it relies strongly on the discretion of individual caseworkers and it is not clear how generous this will be in practice. </w:t>
      </w:r>
    </w:p>
    <w:p w14:paraId="7985CE27" w14:textId="77777777" w:rsidR="00383C2C" w:rsidRPr="00383C2C" w:rsidRDefault="00383C2C" w:rsidP="00A27F2A">
      <w:pPr>
        <w:rPr>
          <w:b/>
          <w:bCs/>
        </w:rPr>
      </w:pPr>
      <w:r>
        <w:t>The examples given largely focus on applications that are only a few months late. This, along with the guidance that the greater the delay, the harder it will be to show a ‘good reason’, may lead decision makers to incline towards refusal where the delays are longer – potentially affecting the most vulnerable applicants.</w:t>
      </w:r>
    </w:p>
    <w:p w14:paraId="1D42B258" w14:textId="77777777" w:rsidR="00383C2C" w:rsidRPr="00E306F5" w:rsidRDefault="00383C2C" w:rsidP="00A27F2A">
      <w:r w:rsidRPr="00E306F5">
        <w:t xml:space="preserve">The guidance states </w:t>
      </w:r>
      <w:r>
        <w:t xml:space="preserve">that decision makers should </w:t>
      </w:r>
      <w:r w:rsidRPr="00E306F5">
        <w:t>give the ‘benefit of the doubt’ ‘for the time being</w:t>
      </w:r>
      <w:proofErr w:type="gramStart"/>
      <w:r w:rsidRPr="00E306F5">
        <w:t>’, and</w:t>
      </w:r>
      <w:proofErr w:type="gramEnd"/>
      <w:r w:rsidRPr="00E306F5">
        <w:t xml:space="preserve"> promises that ‘any change in approach’ will be included in revised guidance. </w:t>
      </w:r>
      <w:r>
        <w:t xml:space="preserve">Again, this suggests making it harder to apply the longer the delay, again affecting the most vulnerable, and having potentially devastating effects years from now. </w:t>
      </w:r>
      <w:r w:rsidRPr="00E306F5">
        <w:t xml:space="preserve"> </w:t>
      </w:r>
    </w:p>
    <w:p w14:paraId="22C09D55" w14:textId="77777777" w:rsidR="00383C2C" w:rsidRPr="00383C2C" w:rsidRDefault="00383C2C" w:rsidP="00A27F2A">
      <w:pPr>
        <w:rPr>
          <w:b/>
          <w:bCs/>
        </w:rPr>
      </w:pPr>
      <w:r>
        <w:t>It is not clear i</w:t>
      </w:r>
      <w:r w:rsidRPr="008941FE">
        <w:t xml:space="preserve">f </w:t>
      </w:r>
      <w:r>
        <w:t xml:space="preserve">simply </w:t>
      </w:r>
      <w:r w:rsidRPr="008941FE">
        <w:t xml:space="preserve">not knowing about the scheme, or about the deadline, or not realising that it applied to them, </w:t>
      </w:r>
      <w:r>
        <w:t xml:space="preserve">will be enough to be </w:t>
      </w:r>
      <w:r w:rsidRPr="008941FE">
        <w:t>considered good reasons</w:t>
      </w:r>
      <w:r>
        <w:t xml:space="preserve">. If not, a number of EU Citizens who cannot make a late application will </w:t>
      </w:r>
      <w:r w:rsidRPr="008941FE">
        <w:t xml:space="preserve">lose their right to reside on the </w:t>
      </w:r>
      <w:proofErr w:type="gramStart"/>
      <w:r w:rsidRPr="008941FE">
        <w:t>1</w:t>
      </w:r>
      <w:r w:rsidRPr="00383C2C">
        <w:rPr>
          <w:vertAlign w:val="superscript"/>
        </w:rPr>
        <w:t>st</w:t>
      </w:r>
      <w:proofErr w:type="gramEnd"/>
      <w:r w:rsidRPr="008941FE">
        <w:t xml:space="preserve"> July, and this loss will not be something they can put right. </w:t>
      </w:r>
      <w:r w:rsidRPr="00383C2C">
        <w:rPr>
          <w:b/>
          <w:bCs/>
        </w:rPr>
        <w:t xml:space="preserve">They may have lived and worked in the UK for decades, but any accrued rights will be irreversibly lost, even if they have previously acquired ‘permanent’ residence. </w:t>
      </w:r>
      <w:r>
        <w:t>T</w:t>
      </w:r>
      <w:r w:rsidRPr="008941FE">
        <w:t xml:space="preserve">his is a disproportionate penalty for a delay in complying with a new administrative requirement. </w:t>
      </w:r>
    </w:p>
    <w:p w14:paraId="526084AB" w14:textId="77777777" w:rsidR="00383C2C" w:rsidRPr="00383C2C" w:rsidRDefault="00383C2C" w:rsidP="00A27F2A">
      <w:pPr>
        <w:rPr>
          <w:b/>
          <w:bCs/>
        </w:rPr>
      </w:pPr>
      <w:r>
        <w:t xml:space="preserve">The guidance states that children will be able to apply late. But: this is not a codified right; the examples are narrowly drawn; and it does not include primary carers. </w:t>
      </w:r>
    </w:p>
    <w:p w14:paraId="3968D60D" w14:textId="127E5A93" w:rsidR="00414318" w:rsidRPr="00383C2C" w:rsidRDefault="00383C2C" w:rsidP="00A27F2A">
      <w:pPr>
        <w:rPr>
          <w:rFonts w:eastAsiaTheme="minorEastAsia"/>
          <w:sz w:val="22"/>
          <w:szCs w:val="22"/>
        </w:rPr>
      </w:pPr>
      <w:r>
        <w:t xml:space="preserve">There are </w:t>
      </w:r>
      <w:proofErr w:type="gramStart"/>
      <w:r>
        <w:t>a number of</w:t>
      </w:r>
      <w:proofErr w:type="gramEnd"/>
      <w:r>
        <w:t xml:space="preserve"> gaps, and potentially problematic hints and directions to case workers in the guidance. There are two proposals that follow from these gaps</w:t>
      </w:r>
      <w:r w:rsidR="00296497" w:rsidRPr="00D80750">
        <w:br w:type="page"/>
      </w:r>
    </w:p>
    <w:p w14:paraId="51328189" w14:textId="77777777" w:rsidR="00383C2C" w:rsidRDefault="00383C2C" w:rsidP="00383C2C">
      <w:pPr>
        <w:pStyle w:val="Heading2"/>
      </w:pPr>
      <w:bookmarkStart w:id="10" w:name="_Toc72956752"/>
      <w:r w:rsidRPr="009A604F">
        <w:lastRenderedPageBreak/>
        <w:t xml:space="preserve">Proposal: </w:t>
      </w:r>
      <w:r>
        <w:t>create a coherent, consistent right to apply after the deadline.</w:t>
      </w:r>
      <w:bookmarkEnd w:id="10"/>
      <w:r>
        <w:t xml:space="preserve"> </w:t>
      </w:r>
    </w:p>
    <w:p w14:paraId="752D08C6" w14:textId="77777777" w:rsidR="00383C2C" w:rsidRDefault="00383C2C" w:rsidP="00383C2C">
      <w:pPr>
        <w:pStyle w:val="NoSpacing"/>
      </w:pPr>
    </w:p>
    <w:p w14:paraId="778BFB15" w14:textId="52BEB14B" w:rsidR="00383C2C" w:rsidRDefault="00383C2C" w:rsidP="00A27F2A">
      <w:r w:rsidRPr="00794599">
        <w:t xml:space="preserve">The </w:t>
      </w:r>
      <w:r>
        <w:t xml:space="preserve">guidance is inevitably incomplete, and will be open to different interpretations, increasing the likelihood of administrative injustice. The </w:t>
      </w:r>
      <w:r w:rsidRPr="00794599">
        <w:t>most straightforward</w:t>
      </w:r>
      <w:r>
        <w:t xml:space="preserve"> way to address the</w:t>
      </w:r>
      <w:r w:rsidRPr="00794599">
        <w:t xml:space="preserve"> fragmented, </w:t>
      </w:r>
      <w:proofErr w:type="gramStart"/>
      <w:r w:rsidRPr="00794599">
        <w:t>incomplete</w:t>
      </w:r>
      <w:proofErr w:type="gramEnd"/>
      <w:r w:rsidRPr="00794599">
        <w:t xml:space="preserve"> and misleading guidance and examples</w:t>
      </w:r>
      <w:r>
        <w:t xml:space="preserve">, and to avoid creating a perilous cliff-edge as a result of discretionary decisions, would be to recognise a general right to apply late to the scheme. </w:t>
      </w:r>
    </w:p>
    <w:p w14:paraId="502C52A8" w14:textId="77777777" w:rsidR="00383C2C" w:rsidRDefault="00383C2C" w:rsidP="00A27F2A">
      <w:r w:rsidRPr="00842B8D">
        <w:t xml:space="preserve">We support organisations calling for the deadline to be effectively scrapped, to establish a purely ‘declaratory’ system of residence rights for EEA+ nationals, </w:t>
      </w:r>
      <w:proofErr w:type="gramStart"/>
      <w:r w:rsidRPr="00842B8D">
        <w:t>similar to</w:t>
      </w:r>
      <w:proofErr w:type="gramEnd"/>
      <w:r w:rsidRPr="00842B8D">
        <w:t xml:space="preserve"> that employed by thirteen EU Member States towards UK nationals,</w:t>
      </w:r>
      <w:r w:rsidRPr="00842B8D">
        <w:rPr>
          <w:vertAlign w:val="superscript"/>
        </w:rPr>
        <w:footnoteReference w:id="10"/>
      </w:r>
      <w:r w:rsidRPr="00842B8D">
        <w:t xml:space="preserve"> </w:t>
      </w:r>
      <w:r>
        <w:t xml:space="preserve">but </w:t>
      </w:r>
      <w:r w:rsidRPr="00842B8D">
        <w:t>we recognise the legitimate concerns of the UK Home Office to ensure timely applications, to avoid long-term non-registration,</w:t>
      </w:r>
      <w:r w:rsidRPr="00842B8D">
        <w:rPr>
          <w:vertAlign w:val="superscript"/>
        </w:rPr>
        <w:footnoteReference w:id="11"/>
      </w:r>
      <w:r w:rsidRPr="00842B8D">
        <w:t xml:space="preserve"> that could cause problems decades down the line.  </w:t>
      </w:r>
    </w:p>
    <w:p w14:paraId="793B2A05" w14:textId="08E85B61" w:rsidR="00383C2C" w:rsidRDefault="00383C2C" w:rsidP="00A27F2A">
      <w:r w:rsidRPr="00A27F2A">
        <w:rPr>
          <w:b/>
          <w:bCs/>
          <w:color w:val="002060"/>
        </w:rPr>
        <w:t>1. Introducing a substantive scheme:</w:t>
      </w:r>
      <w:r w:rsidRPr="00A27F2A">
        <w:rPr>
          <w:color w:val="002060"/>
        </w:rPr>
        <w:t xml:space="preserve"> </w:t>
      </w:r>
      <w:r>
        <w:t xml:space="preserve">A </w:t>
      </w:r>
      <w:r w:rsidRPr="003E7ED3">
        <w:t>substantive scheme which</w:t>
      </w:r>
      <w:r>
        <w:t xml:space="preserve"> adopts a proportionate penalty for missing the </w:t>
      </w:r>
      <w:proofErr w:type="gramStart"/>
      <w:r>
        <w:t>deadline</w:t>
      </w:r>
      <w:r w:rsidR="00A27F2A">
        <w:t>, but</w:t>
      </w:r>
      <w:proofErr w:type="gramEnd"/>
      <w:r w:rsidR="00A27F2A">
        <w:t xml:space="preserve"> </w:t>
      </w:r>
      <w:r w:rsidR="00A27F2A" w:rsidRPr="00A27F2A">
        <w:t>recognise</w:t>
      </w:r>
      <w:r w:rsidR="00A27F2A">
        <w:t>s</w:t>
      </w:r>
      <w:r w:rsidR="00A27F2A" w:rsidRPr="00A27F2A">
        <w:t xml:space="preserve"> a general right to apply late to the scheme</w:t>
      </w:r>
      <w:r w:rsidR="00A27F2A">
        <w:t>,</w:t>
      </w:r>
      <w:r w:rsidR="00A27F2A" w:rsidRPr="00A27F2A">
        <w:t xml:space="preserve"> </w:t>
      </w:r>
      <w:r>
        <w:t>could be an effective compromise.</w:t>
      </w:r>
    </w:p>
    <w:p w14:paraId="2E277E60" w14:textId="0FF576FC" w:rsidR="00383C2C" w:rsidRDefault="00383C2C" w:rsidP="00A27F2A">
      <w:r w:rsidRPr="00A27F2A">
        <w:rPr>
          <w:b/>
          <w:bCs/>
          <w:color w:val="002060"/>
        </w:rPr>
        <w:t>2.</w:t>
      </w:r>
      <w:r w:rsidRPr="00A27F2A">
        <w:rPr>
          <w:color w:val="002060"/>
        </w:rPr>
        <w:t xml:space="preserve"> </w:t>
      </w:r>
      <w:r w:rsidR="00A27F2A" w:rsidRPr="00A27F2A">
        <w:rPr>
          <w:b/>
          <w:bCs/>
          <w:color w:val="002060"/>
        </w:rPr>
        <w:t>A late application fee:</w:t>
      </w:r>
      <w:r w:rsidR="00A27F2A" w:rsidRPr="00A27F2A">
        <w:rPr>
          <w:color w:val="002060"/>
        </w:rPr>
        <w:t xml:space="preserve">  </w:t>
      </w:r>
      <w:r>
        <w:t xml:space="preserve">Late applicants who could not demonstrate a ‘good reason’ – along the lines of the guidance (with the amendments suggested below) – could be required to pay a late application fee. This would be more in line with penalties for failing to comply with an administrative requirement. </w:t>
      </w:r>
    </w:p>
    <w:p w14:paraId="61796C24" w14:textId="77777777" w:rsidR="00383C2C" w:rsidRDefault="00383C2C" w:rsidP="00A27F2A">
      <w:r>
        <w:t xml:space="preserve">A fixed fee, or one with a few increments, would avoid creating prohibitive fees for very vulnerable </w:t>
      </w:r>
      <w:proofErr w:type="gramStart"/>
      <w:r>
        <w:t>applicants</w:t>
      </w:r>
      <w:proofErr w:type="gramEnd"/>
      <w:r>
        <w:t xml:space="preserve"> years down the line. </w:t>
      </w:r>
      <w:r w:rsidRPr="00842B8D">
        <w:t xml:space="preserve">This would align with residence registration schemes operating in EU Member States for EU migrants under Article 8(2) of Directive 2004/38. </w:t>
      </w:r>
    </w:p>
    <w:p w14:paraId="47E3F4C4" w14:textId="4001E2EF" w:rsidR="00383C2C" w:rsidRDefault="00A27F2A" w:rsidP="00A27F2A">
      <w:r w:rsidRPr="00A27F2A">
        <w:rPr>
          <w:b/>
          <w:bCs/>
          <w:color w:val="002060"/>
        </w:rPr>
        <w:t>3. Optional Fee Waiver:</w:t>
      </w:r>
      <w:r w:rsidRPr="00A27F2A">
        <w:rPr>
          <w:color w:val="002060"/>
        </w:rPr>
        <w:t xml:space="preserve"> </w:t>
      </w:r>
      <w:r w:rsidR="00383C2C">
        <w:t xml:space="preserve">The system could include a fee waiver, where it was not reasonable for the applicant to pay it.  </w:t>
      </w:r>
    </w:p>
    <w:p w14:paraId="0F31CC09" w14:textId="3464FED4" w:rsidR="00383C2C" w:rsidRDefault="00383C2C" w:rsidP="00A27F2A">
      <w:r w:rsidRPr="00842B8D">
        <w:t xml:space="preserve">This is a </w:t>
      </w:r>
      <w:r w:rsidRPr="00383C2C">
        <w:rPr>
          <w:b/>
          <w:bCs/>
        </w:rPr>
        <w:t>substantive scheme</w:t>
      </w:r>
      <w:r w:rsidRPr="00842B8D">
        <w:t xml:space="preserve">: keeping a meaningful </w:t>
      </w:r>
      <w:proofErr w:type="gramStart"/>
      <w:r w:rsidRPr="00842B8D">
        <w:t>deadline, but</w:t>
      </w:r>
      <w:proofErr w:type="gramEnd"/>
      <w:r w:rsidRPr="00842B8D">
        <w:t xml:space="preserve"> avoiding irreversible losses of rights</w:t>
      </w:r>
      <w:r>
        <w:t>.</w:t>
      </w:r>
    </w:p>
    <w:p w14:paraId="5F20D84E" w14:textId="77777777" w:rsidR="00A27F2A" w:rsidRDefault="00A27F2A">
      <w:r>
        <w:br w:type="page"/>
      </w:r>
    </w:p>
    <w:p w14:paraId="6B519318" w14:textId="77777777" w:rsidR="00A27F2A" w:rsidRPr="002C09EE" w:rsidRDefault="00A27F2A" w:rsidP="00A27F2A">
      <w:pPr>
        <w:pStyle w:val="Heading2"/>
      </w:pPr>
      <w:bookmarkStart w:id="11" w:name="_Toc72956753"/>
      <w:r w:rsidRPr="002C09EE">
        <w:lastRenderedPageBreak/>
        <w:t>Proposal: addressing some of the gaps in the guidance</w:t>
      </w:r>
      <w:bookmarkEnd w:id="11"/>
    </w:p>
    <w:p w14:paraId="79518CBA" w14:textId="77777777" w:rsidR="00A27F2A" w:rsidRDefault="00A27F2A" w:rsidP="00A27F2A">
      <w:pPr>
        <w:pStyle w:val="NoSpacing"/>
        <w:rPr>
          <w:rStyle w:val="Heading3Char"/>
          <w:rFonts w:ascii="Calibri" w:hAnsi="Calibri" w:cs="Calibri"/>
          <w:b/>
          <w:bCs/>
        </w:rPr>
      </w:pPr>
    </w:p>
    <w:p w14:paraId="3384FDE6" w14:textId="51E42487" w:rsidR="00A27F2A" w:rsidRDefault="00A27F2A" w:rsidP="00A27F2A">
      <w:bookmarkStart w:id="12" w:name="_Toc72956754"/>
      <w:r w:rsidRPr="00A27F2A">
        <w:rPr>
          <w:rStyle w:val="Heading3Char"/>
          <w:rFonts w:ascii="Calibri" w:hAnsi="Calibri" w:cs="Calibri"/>
          <w:b/>
          <w:bCs/>
        </w:rPr>
        <w:t>1.</w:t>
      </w:r>
      <w:r>
        <w:rPr>
          <w:rStyle w:val="Heading3Char"/>
          <w:rFonts w:ascii="Calibri" w:hAnsi="Calibri" w:cs="Calibri"/>
          <w:b/>
          <w:bCs/>
        </w:rPr>
        <w:t xml:space="preserve"> </w:t>
      </w:r>
      <w:r w:rsidRPr="00A27F2A">
        <w:rPr>
          <w:rStyle w:val="Heading3Char"/>
          <w:rFonts w:ascii="Calibri" w:hAnsi="Calibri" w:cs="Calibri"/>
          <w:b/>
          <w:bCs/>
        </w:rPr>
        <w:t>Formalising and codifying the commitment to EEA+ children</w:t>
      </w:r>
      <w:bookmarkEnd w:id="12"/>
      <w:r w:rsidRPr="00A27F2A">
        <w:rPr>
          <w:b/>
          <w:bCs/>
        </w:rPr>
        <w:t xml:space="preserve">: </w:t>
      </w:r>
      <w:r w:rsidRPr="004C0844">
        <w:t xml:space="preserve">We welcome the commitment made to allow late applications for children. </w:t>
      </w:r>
    </w:p>
    <w:p w14:paraId="100D35E7" w14:textId="77777777" w:rsidR="00A27F2A" w:rsidRPr="004C0844" w:rsidRDefault="00A27F2A" w:rsidP="00A27F2A">
      <w:r w:rsidRPr="004F4BE3">
        <w:t xml:space="preserve">The suggestion that the Home Office will allow any late application (effectively waive the deadline) in respect of children, is positive and pragmatic. </w:t>
      </w:r>
      <w:r w:rsidRPr="00A27F2A">
        <w:rPr>
          <w:b/>
          <w:bCs/>
        </w:rPr>
        <w:t xml:space="preserve">We recommend that this commitment be formalised in the Immigration Rules, Appendix EU. </w:t>
      </w:r>
    </w:p>
    <w:p w14:paraId="65D98E1F" w14:textId="77777777" w:rsidR="00A27F2A" w:rsidRDefault="00A27F2A" w:rsidP="00A27F2A">
      <w:r w:rsidRPr="004F4BE3">
        <w:t xml:space="preserve">We also recommend that such a commitment is </w:t>
      </w:r>
      <w:r w:rsidRPr="00A27F2A">
        <w:rPr>
          <w:b/>
          <w:bCs/>
        </w:rPr>
        <w:t>extended to include primary carers of children applying late</w:t>
      </w:r>
      <w:r w:rsidRPr="004F4BE3">
        <w:t>.</w:t>
      </w:r>
      <w:r>
        <w:rPr>
          <w:rStyle w:val="FootnoteReference"/>
        </w:rPr>
        <w:footnoteReference w:id="12"/>
      </w:r>
      <w:r>
        <w:t xml:space="preserve"> The example scenarios in the guidance focus on children who apply later as adults. But if applying while still a child, and a primary carer is required to</w:t>
      </w:r>
      <w:r w:rsidRPr="004F4BE3">
        <w:t xml:space="preserve"> </w:t>
      </w:r>
      <w:r>
        <w:t xml:space="preserve">demonstrate their own separate ‘good reason’ for applying late, and is deemed not to do so, then the child’s ‘automatic’ right to apply late will not mean much – they will not be able to exercise their right to settled/pre-settled status without their primary carer. </w:t>
      </w:r>
    </w:p>
    <w:p w14:paraId="662E25BC" w14:textId="16ACC93E" w:rsidR="00A27F2A" w:rsidRDefault="00A27F2A" w:rsidP="00A27F2A">
      <w:bookmarkStart w:id="13" w:name="_Toc72956755"/>
      <w:r w:rsidRPr="007B00DC">
        <w:rPr>
          <w:rStyle w:val="Heading3Char"/>
          <w:rFonts w:ascii="Calibri" w:hAnsi="Calibri" w:cs="Calibri"/>
          <w:b/>
          <w:bCs/>
        </w:rPr>
        <w:t>2. Removing</w:t>
      </w:r>
      <w:r w:rsidRPr="003E5B08">
        <w:rPr>
          <w:rStyle w:val="Heading3Char"/>
          <w:rFonts w:ascii="Calibri" w:hAnsi="Calibri" w:cs="Calibri"/>
          <w:b/>
          <w:bCs/>
        </w:rPr>
        <w:t xml:space="preserve"> the treatment of victims of abuse as suspicious</w:t>
      </w:r>
      <w:bookmarkEnd w:id="13"/>
      <w:r w:rsidRPr="003E5B08">
        <w:rPr>
          <w:b/>
          <w:bCs/>
          <w:color w:val="002060"/>
        </w:rPr>
        <w:t>:</w:t>
      </w:r>
      <w:r w:rsidRPr="00A27F2A">
        <w:rPr>
          <w:b/>
          <w:bCs/>
          <w:color w:val="002060"/>
        </w:rPr>
        <w:t xml:space="preserve"> </w:t>
      </w:r>
      <w:r w:rsidRPr="002C09EE">
        <w:t>There are two mentions in the late application guidance of a need to have regard to ‘previous immigration history</w:t>
      </w:r>
      <w:r>
        <w:t xml:space="preserve">, </w:t>
      </w:r>
      <w:r w:rsidRPr="002C09EE">
        <w:t>particularly</w:t>
      </w:r>
      <w:r>
        <w:t xml:space="preserve"> </w:t>
      </w:r>
      <w:r w:rsidRPr="002C09EE">
        <w:t xml:space="preserve">where there is evidence that the applicant has made a number of unsuccessful attempts to secure leave to remain in the UK on different </w:t>
      </w:r>
      <w:proofErr w:type="gramStart"/>
      <w:r w:rsidRPr="002C09EE">
        <w:t>grounds’</w:t>
      </w:r>
      <w:proofErr w:type="gramEnd"/>
      <w:r w:rsidRPr="002C09EE">
        <w:t xml:space="preserve">. </w:t>
      </w:r>
      <w:r>
        <w:t>This direction to caseworkers is when dealing with</w:t>
      </w:r>
      <w:r w:rsidRPr="002C09EE">
        <w:t xml:space="preserve"> persons claiming to be victims of modern slavery, or in an abusive or controlling relationship or situation. But this is not mentioned in the context of </w:t>
      </w:r>
      <w:r w:rsidRPr="00A27F2A">
        <w:rPr>
          <w:i/>
          <w:iCs/>
        </w:rPr>
        <w:t>other</w:t>
      </w:r>
      <w:r w:rsidRPr="002C09EE">
        <w:t xml:space="preserve"> grounds for late applications, such as ‘other compelling practical or compassionate </w:t>
      </w:r>
      <w:proofErr w:type="gramStart"/>
      <w:r w:rsidRPr="002C09EE">
        <w:t>reasons’</w:t>
      </w:r>
      <w:proofErr w:type="gramEnd"/>
      <w:r w:rsidRPr="002C09EE">
        <w:t xml:space="preserve">. </w:t>
      </w:r>
    </w:p>
    <w:p w14:paraId="770D2403" w14:textId="0E823228" w:rsidR="00A27F2A" w:rsidRPr="00A27F2A" w:rsidRDefault="00A27F2A" w:rsidP="00A27F2A">
      <w:pPr>
        <w:rPr>
          <w:b/>
          <w:bCs/>
        </w:rPr>
      </w:pPr>
      <w:r>
        <w:t xml:space="preserve">This effectively directs decision-makers to consider whether victims of abuse – as opposed to other claimants – are making ‘sham’ claims. If such victims </w:t>
      </w:r>
      <w:r w:rsidRPr="002C09EE">
        <w:t>have previously tried and failed to regularise their status</w:t>
      </w:r>
      <w:r>
        <w:t>,</w:t>
      </w:r>
      <w:r w:rsidRPr="002C09EE">
        <w:t xml:space="preserve"> and so became even more at the mercy of their abuser</w:t>
      </w:r>
      <w:r>
        <w:t xml:space="preserve">, the guidance implies that they are more </w:t>
      </w:r>
      <w:r w:rsidRPr="002C09EE">
        <w:t xml:space="preserve">likely to be </w:t>
      </w:r>
      <w:r>
        <w:t xml:space="preserve">sham victims, and less likely to be eligible to make a late application to the EUSS. </w:t>
      </w:r>
      <w:r w:rsidRPr="002C09EE">
        <w:t xml:space="preserve"> </w:t>
      </w:r>
      <w:r w:rsidRPr="00571253">
        <w:t>We suggest that this direction be removed from the guidance.</w:t>
      </w:r>
      <w:r w:rsidRPr="00A27F2A">
        <w:rPr>
          <w:b/>
          <w:bCs/>
        </w:rPr>
        <w:t xml:space="preserve"> </w:t>
      </w:r>
    </w:p>
    <w:p w14:paraId="07E45B0D" w14:textId="514017BD" w:rsidR="00A27F2A" w:rsidRDefault="00A27F2A" w:rsidP="00A27F2A">
      <w:bookmarkStart w:id="14" w:name="_Toc72956756"/>
      <w:r w:rsidRPr="007B00DC">
        <w:rPr>
          <w:rStyle w:val="Heading3Char"/>
          <w:rFonts w:ascii="Calibri" w:hAnsi="Calibri" w:cs="Calibri"/>
          <w:b/>
          <w:bCs/>
        </w:rPr>
        <w:t>3. Recognising</w:t>
      </w:r>
      <w:r w:rsidRPr="003E5B08">
        <w:rPr>
          <w:rStyle w:val="Heading3Char"/>
          <w:rFonts w:ascii="Calibri" w:hAnsi="Calibri" w:cs="Calibri"/>
          <w:b/>
          <w:bCs/>
        </w:rPr>
        <w:t xml:space="preserve"> lack of capacity as an automatically good reason:</w:t>
      </w:r>
      <w:bookmarkEnd w:id="14"/>
      <w:r w:rsidRPr="003E5B08">
        <w:rPr>
          <w:rStyle w:val="Heading3Char"/>
          <w:rFonts w:ascii="Calibri" w:hAnsi="Calibri" w:cs="Calibri"/>
        </w:rPr>
        <w:t xml:space="preserve"> </w:t>
      </w:r>
      <w:r>
        <w:t>The guidance states that w</w:t>
      </w:r>
      <w:r w:rsidRPr="00490FC0">
        <w:t xml:space="preserve">here an applicant </w:t>
      </w:r>
      <w:r w:rsidRPr="007E4CE8">
        <w:t>lacks</w:t>
      </w:r>
      <w:r w:rsidRPr="00490FC0">
        <w:t xml:space="preserve"> physical or mental capacity</w:t>
      </w:r>
      <w:r>
        <w:t xml:space="preserve"> (not just where capacity is reduced)</w:t>
      </w:r>
      <w:r w:rsidRPr="00490FC0">
        <w:t xml:space="preserve"> that will ‘</w:t>
      </w:r>
      <w:r>
        <w:t>normally</w:t>
      </w:r>
      <w:r w:rsidRPr="00490FC0">
        <w:t xml:space="preserve">’ constitute reasonable grounds for a person to make a late application. </w:t>
      </w:r>
      <w:r>
        <w:t xml:space="preserve">We suggest that a lack of capacity be considered an automatically good reason for a late application. </w:t>
      </w:r>
    </w:p>
    <w:p w14:paraId="5E85AE01" w14:textId="6D154919" w:rsidR="00A27F2A" w:rsidRDefault="00A27F2A" w:rsidP="0064184D">
      <w:pPr>
        <w:spacing w:after="120"/>
      </w:pPr>
      <w:bookmarkStart w:id="15" w:name="_Toc72956757"/>
      <w:r w:rsidRPr="007B00DC">
        <w:rPr>
          <w:rStyle w:val="Heading3Char"/>
          <w:rFonts w:ascii="Calibri" w:hAnsi="Calibri" w:cs="Calibri"/>
          <w:b/>
          <w:bCs/>
        </w:rPr>
        <w:lastRenderedPageBreak/>
        <w:t>4. Treating</w:t>
      </w:r>
      <w:r w:rsidRPr="003E5B08">
        <w:rPr>
          <w:rStyle w:val="Heading3Char"/>
          <w:rFonts w:ascii="Calibri" w:hAnsi="Calibri" w:cs="Calibri"/>
          <w:b/>
          <w:bCs/>
        </w:rPr>
        <w:t xml:space="preserve"> pregnancy and maternity as a good reason</w:t>
      </w:r>
      <w:bookmarkEnd w:id="15"/>
      <w:r w:rsidRPr="00A27F2A">
        <w:rPr>
          <w:color w:val="002060"/>
        </w:rPr>
        <w:t xml:space="preserve">: </w:t>
      </w:r>
      <w:r>
        <w:t>Currently, the guidance suggests that there must be unusual circumstances for pregnancy or maternity to be a good reason for a late application:</w:t>
      </w:r>
    </w:p>
    <w:p w14:paraId="4971439D" w14:textId="703E3EF0" w:rsidR="00A27F2A" w:rsidRPr="003F362D" w:rsidRDefault="00A27F2A" w:rsidP="0064184D">
      <w:pPr>
        <w:pStyle w:val="Quote"/>
        <w:spacing w:after="120"/>
      </w:pPr>
      <w:r w:rsidRPr="003F362D">
        <w:t xml:space="preserve">pregnancy or maternity </w:t>
      </w:r>
      <w:r w:rsidRPr="003F362D">
        <w:rPr>
          <w:b/>
          <w:bCs/>
        </w:rPr>
        <w:t>may be a reason</w:t>
      </w:r>
      <w:r w:rsidRPr="003F362D">
        <w:t xml:space="preserve"> why a person needs to make a late application to the EU Settlement Scheme, </w:t>
      </w:r>
      <w:r w:rsidRPr="003F362D">
        <w:rPr>
          <w:b/>
          <w:bCs/>
        </w:rPr>
        <w:t>for example</w:t>
      </w:r>
      <w:r w:rsidRPr="003F362D">
        <w:t xml:space="preserve"> where a woman has </w:t>
      </w:r>
      <w:r w:rsidRPr="003F362D">
        <w:rPr>
          <w:b/>
          <w:bCs/>
        </w:rPr>
        <w:t xml:space="preserve">a difficult </w:t>
      </w:r>
      <w:proofErr w:type="gramStart"/>
      <w:r w:rsidRPr="003F362D">
        <w:rPr>
          <w:b/>
          <w:bCs/>
        </w:rPr>
        <w:t>child birth</w:t>
      </w:r>
      <w:proofErr w:type="gramEnd"/>
      <w:r w:rsidRPr="003F362D">
        <w:t xml:space="preserve"> or where </w:t>
      </w:r>
      <w:r w:rsidRPr="003F362D">
        <w:rPr>
          <w:b/>
          <w:bCs/>
        </w:rPr>
        <w:t>a new-born child is in need of medical treatment</w:t>
      </w:r>
      <w:r w:rsidRPr="003F362D">
        <w:t xml:space="preserve">. </w:t>
      </w:r>
    </w:p>
    <w:p w14:paraId="24C48A22" w14:textId="06B7DDCD" w:rsidR="00A27F2A" w:rsidRPr="00490FC0" w:rsidRDefault="00A27F2A" w:rsidP="00A27F2A">
      <w:r>
        <w:t>However</w:t>
      </w:r>
      <w:r w:rsidR="005B487C">
        <w:t>,</w:t>
      </w:r>
      <w:r w:rsidRPr="00490FC0">
        <w:t xml:space="preserve"> ‘normal’ childbirth </w:t>
      </w:r>
      <w:r>
        <w:t xml:space="preserve">and a healthy new-born child can both be significantly disruptive for a </w:t>
      </w:r>
      <w:r w:rsidRPr="00490FC0">
        <w:t>significant period</w:t>
      </w:r>
      <w:r>
        <w:t xml:space="preserve">, especially for </w:t>
      </w:r>
      <w:r w:rsidRPr="00490FC0">
        <w:t>single parent</w:t>
      </w:r>
      <w:r>
        <w:t>s</w:t>
      </w:r>
      <w:r w:rsidRPr="00490FC0">
        <w:t>.</w:t>
      </w:r>
      <w:r>
        <w:t xml:space="preserve"> We suggest that </w:t>
      </w:r>
      <w:r w:rsidRPr="003F362D">
        <w:t>pregnancy and maternity at or around the deadline should be good reasons for a late application</w:t>
      </w:r>
      <w:r>
        <w:t xml:space="preserve">. </w:t>
      </w:r>
    </w:p>
    <w:p w14:paraId="22F3FEEA" w14:textId="22E98CFD" w:rsidR="00A27F2A" w:rsidRDefault="00A27F2A" w:rsidP="0064184D">
      <w:bookmarkStart w:id="16" w:name="_Toc72956758"/>
      <w:r w:rsidRPr="007B00DC">
        <w:rPr>
          <w:rStyle w:val="Heading3Char"/>
          <w:rFonts w:ascii="Calibri" w:hAnsi="Calibri" w:cs="Calibri"/>
          <w:b/>
          <w:bCs/>
        </w:rPr>
        <w:t xml:space="preserve">5. Removing </w:t>
      </w:r>
      <w:r w:rsidRPr="003E5B08">
        <w:rPr>
          <w:rStyle w:val="Heading3Char"/>
          <w:rFonts w:ascii="Calibri" w:hAnsi="Calibri" w:cs="Calibri"/>
          <w:b/>
          <w:bCs/>
        </w:rPr>
        <w:t>the reference to a serious medical condition being a good reason for a child’s late application</w:t>
      </w:r>
      <w:bookmarkEnd w:id="16"/>
      <w:r w:rsidRPr="00A27F2A">
        <w:rPr>
          <w:b/>
          <w:bCs/>
          <w:color w:val="002060"/>
        </w:rPr>
        <w:t xml:space="preserve">: </w:t>
      </w:r>
      <w:r w:rsidRPr="00490FC0">
        <w:t xml:space="preserve">The guidance on late applications from children suggests that a decision maker does not need to </w:t>
      </w:r>
      <w:proofErr w:type="gramStart"/>
      <w:r w:rsidRPr="00490FC0">
        <w:t>look into</w:t>
      </w:r>
      <w:proofErr w:type="gramEnd"/>
      <w:r w:rsidRPr="00490FC0">
        <w:t xml:space="preserve"> the reasons why a</w:t>
      </w:r>
      <w:r w:rsidRPr="00A27F2A">
        <w:rPr>
          <w:b/>
          <w:bCs/>
        </w:rPr>
        <w:t xml:space="preserve"> </w:t>
      </w:r>
      <w:r w:rsidRPr="00490FC0">
        <w:t xml:space="preserve">parent/guardian/carer did not apply to the EUSS for their child in time. </w:t>
      </w:r>
    </w:p>
    <w:p w14:paraId="7C71EEF8" w14:textId="43F3AF39" w:rsidR="00A27F2A" w:rsidRPr="00A27F2A" w:rsidRDefault="00A27F2A" w:rsidP="0064184D">
      <w:pPr>
        <w:spacing w:after="120"/>
      </w:pPr>
      <w:r>
        <w:t xml:space="preserve">However, </w:t>
      </w:r>
      <w:r w:rsidRPr="00490FC0">
        <w:t>later it states:</w:t>
      </w:r>
    </w:p>
    <w:p w14:paraId="39E994E8" w14:textId="77777777" w:rsidR="00A27F2A" w:rsidRDefault="00A27F2A" w:rsidP="0064184D">
      <w:pPr>
        <w:pStyle w:val="Quote"/>
        <w:spacing w:after="120"/>
      </w:pPr>
      <w:r w:rsidRPr="003F362D">
        <w:t xml:space="preserve">Where a person had a serious medical condition (or was undergoing significant medical treatment) in the months before, or around the time of, the deadline applicable to them, </w:t>
      </w:r>
      <w:r w:rsidRPr="003F362D">
        <w:rPr>
          <w:b/>
          <w:bCs/>
        </w:rPr>
        <w:t>that will also normally constitute reasonable grounds for a late application to the EU Settlement Scheme to be made in respect of a child</w:t>
      </w:r>
      <w:r w:rsidRPr="003F362D">
        <w:t xml:space="preserve"> or other dependent family member who was reliant on the person to make an application to the scheme on their behalf. </w:t>
      </w:r>
    </w:p>
    <w:p w14:paraId="64838509" w14:textId="77777777" w:rsidR="00A27F2A" w:rsidRPr="00A27F2A" w:rsidRDefault="00A27F2A" w:rsidP="0064184D">
      <w:pPr>
        <w:rPr>
          <w:b/>
          <w:bCs/>
        </w:rPr>
      </w:pPr>
      <w:r>
        <w:t xml:space="preserve">This direction to look behind the reasons for a late application on behalf of a child is confusing and </w:t>
      </w:r>
      <w:proofErr w:type="gramStart"/>
      <w:r>
        <w:t>contradictory, and</w:t>
      </w:r>
      <w:proofErr w:type="gramEnd"/>
      <w:r>
        <w:t xml:space="preserve"> will lead to different approaches between decision makers. It should be removed.</w:t>
      </w:r>
    </w:p>
    <w:p w14:paraId="4ADB30DC" w14:textId="77777777" w:rsidR="00A27F2A" w:rsidRDefault="00A27F2A" w:rsidP="00A27F2A">
      <w:r>
        <w:t xml:space="preserve">Moreover, under the section on physical/mental capacity and ‘care support needs’ </w:t>
      </w:r>
      <w:r w:rsidRPr="007E4CE8">
        <w:rPr>
          <w:b/>
          <w:bCs/>
        </w:rPr>
        <w:t>there is no mention of the ‘reasons’ someone else</w:t>
      </w:r>
      <w:r>
        <w:t xml:space="preserve"> has not applied for them. We submit that as with children, these reasons are irrelevant for all dependent family members. </w:t>
      </w:r>
    </w:p>
    <w:p w14:paraId="55EE48F4" w14:textId="63AEBF43" w:rsidR="00A27F2A" w:rsidRDefault="00A27F2A" w:rsidP="0064184D">
      <w:bookmarkStart w:id="17" w:name="_Toc72956759"/>
      <w:r w:rsidRPr="007B00DC">
        <w:rPr>
          <w:rStyle w:val="Heading3Char"/>
          <w:rFonts w:ascii="Calibri" w:hAnsi="Calibri" w:cs="Calibri"/>
          <w:b/>
          <w:bCs/>
        </w:rPr>
        <w:t>6. Including</w:t>
      </w:r>
      <w:r w:rsidRPr="003E5B08">
        <w:rPr>
          <w:rStyle w:val="Heading3Char"/>
          <w:rFonts w:ascii="Calibri" w:hAnsi="Calibri" w:cs="Calibri"/>
          <w:b/>
          <w:bCs/>
        </w:rPr>
        <w:t xml:space="preserve"> people with permanent residence but no certificate</w:t>
      </w:r>
      <w:bookmarkEnd w:id="17"/>
      <w:r w:rsidRPr="00A27F2A">
        <w:rPr>
          <w:color w:val="002060"/>
        </w:rPr>
        <w:t xml:space="preserve">: </w:t>
      </w:r>
      <w:r w:rsidRPr="00842B8D">
        <w:t xml:space="preserve">The guidance recognises that some people will have been issued with a document under the EEA Regulations and not realise that this is insufficient </w:t>
      </w:r>
      <w:r>
        <w:t>at</w:t>
      </w:r>
      <w:r w:rsidRPr="00842B8D">
        <w:t xml:space="preserve"> the end of the grace period. </w:t>
      </w:r>
    </w:p>
    <w:p w14:paraId="0F1BADA5" w14:textId="77777777" w:rsidR="00A27F2A" w:rsidRDefault="00A27F2A" w:rsidP="0064184D">
      <w:pPr>
        <w:spacing w:after="140"/>
      </w:pPr>
      <w:r w:rsidRPr="00842B8D">
        <w:t xml:space="preserve">But </w:t>
      </w:r>
      <w:r>
        <w:t xml:space="preserve">the EEA Regs operate as a </w:t>
      </w:r>
      <w:r w:rsidRPr="00A27F2A">
        <w:rPr>
          <w:i/>
          <w:iCs/>
        </w:rPr>
        <w:t>declaratory</w:t>
      </w:r>
      <w:r w:rsidRPr="00842B8D">
        <w:t xml:space="preserve"> system </w:t>
      </w:r>
      <w:r>
        <w:t xml:space="preserve">compared to the EUSS constitutive one. </w:t>
      </w:r>
      <w:r w:rsidRPr="00842B8D">
        <w:t xml:space="preserve">For example, it </w:t>
      </w:r>
      <w:r>
        <w:t>has not been necessary t</w:t>
      </w:r>
      <w:r w:rsidRPr="00842B8D">
        <w:t xml:space="preserve">o possess a permanent residence certificate </w:t>
      </w:r>
      <w:proofErr w:type="gramStart"/>
      <w:r w:rsidRPr="00842B8D">
        <w:t>in order to</w:t>
      </w:r>
      <w:proofErr w:type="gramEnd"/>
      <w:r w:rsidRPr="00842B8D">
        <w:t xml:space="preserve"> have a right of permanent residence under the EEA Regs. </w:t>
      </w:r>
    </w:p>
    <w:p w14:paraId="027E3753" w14:textId="52B89AE9" w:rsidR="00A27F2A" w:rsidRDefault="00A27F2A" w:rsidP="0064184D">
      <w:pPr>
        <w:spacing w:after="140"/>
      </w:pPr>
      <w:r>
        <w:t>Some EEA+ citizens will know</w:t>
      </w:r>
      <w:r w:rsidRPr="00842B8D">
        <w:t xml:space="preserve"> they have permanent residence</w:t>
      </w:r>
      <w:r>
        <w:t>. F</w:t>
      </w:r>
      <w:r w:rsidRPr="00842B8D">
        <w:t xml:space="preserve">or example, they may have had this confirmed when making an application for </w:t>
      </w:r>
      <w:proofErr w:type="gramStart"/>
      <w:r w:rsidRPr="00842B8D">
        <w:t>benefits, but</w:t>
      </w:r>
      <w:proofErr w:type="gramEnd"/>
      <w:r w:rsidRPr="00842B8D">
        <w:t xml:space="preserve"> </w:t>
      </w:r>
      <w:r>
        <w:t xml:space="preserve">have </w:t>
      </w:r>
      <w:r w:rsidRPr="00842B8D">
        <w:t>no document</w:t>
      </w:r>
      <w:r>
        <w:t>. W</w:t>
      </w:r>
      <w:r w:rsidRPr="00842B8D">
        <w:t>e cannot easily know how many people fall into this category, and are at risk of missing the deadline</w:t>
      </w:r>
      <w:r>
        <w:t xml:space="preserve">, because they assume that permanent residence continues to protect them. </w:t>
      </w:r>
      <w:r w:rsidRPr="00842B8D">
        <w:t xml:space="preserve"> </w:t>
      </w:r>
    </w:p>
    <w:p w14:paraId="5B9CF31E" w14:textId="77777777" w:rsidR="00A27F2A" w:rsidRPr="00842B8D" w:rsidRDefault="00A27F2A" w:rsidP="00A27F2A">
      <w:r>
        <w:t>T</w:t>
      </w:r>
      <w:r w:rsidRPr="00842B8D">
        <w:t xml:space="preserve">he guidance should </w:t>
      </w:r>
      <w:r>
        <w:t xml:space="preserve">make clear that </w:t>
      </w:r>
      <w:r w:rsidRPr="00842B8D">
        <w:t xml:space="preserve">having permanent residence, </w:t>
      </w:r>
      <w:r w:rsidRPr="007E4CE8">
        <w:rPr>
          <w:b/>
          <w:bCs/>
        </w:rPr>
        <w:t>with or without a permanent residence document,</w:t>
      </w:r>
      <w:r w:rsidRPr="00842B8D">
        <w:t xml:space="preserve"> is a good reason for making a late application.  </w:t>
      </w:r>
    </w:p>
    <w:p w14:paraId="2F27AF06" w14:textId="77777777" w:rsidR="00A27F2A" w:rsidRPr="00A27F2A" w:rsidRDefault="00A27F2A" w:rsidP="00A27F2A">
      <w:pPr>
        <w:pStyle w:val="Heading3"/>
      </w:pPr>
      <w:bookmarkStart w:id="18" w:name="_Toc72956760"/>
      <w:r w:rsidRPr="00A27F2A">
        <w:lastRenderedPageBreak/>
        <w:t xml:space="preserve">Fallback option: extending the </w:t>
      </w:r>
      <w:proofErr w:type="gramStart"/>
      <w:r w:rsidRPr="00A27F2A">
        <w:t>deadline</w:t>
      </w:r>
      <w:bookmarkEnd w:id="18"/>
      <w:proofErr w:type="gramEnd"/>
    </w:p>
    <w:p w14:paraId="20724CF4" w14:textId="38A048FB" w:rsidR="0064184D" w:rsidRDefault="00A27F2A" w:rsidP="00A27F2A">
      <w:pPr>
        <w:spacing w:after="240"/>
        <w:jc w:val="both"/>
        <w:rPr>
          <w:rFonts w:ascii="Calibri" w:eastAsia="Times New Roman" w:hAnsi="Calibri" w:cs="Calibri"/>
          <w:color w:val="0B0C0C"/>
        </w:rPr>
      </w:pPr>
      <w:proofErr w:type="gramStart"/>
      <w:r w:rsidRPr="00A27F2A">
        <w:rPr>
          <w:rFonts w:ascii="Calibri" w:eastAsia="Times New Roman" w:hAnsi="Calibri" w:cs="Calibri"/>
          <w:color w:val="0B0C0C"/>
        </w:rPr>
        <w:t>In order to</w:t>
      </w:r>
      <w:proofErr w:type="gramEnd"/>
      <w:r w:rsidRPr="00A27F2A">
        <w:rPr>
          <w:rFonts w:ascii="Calibri" w:eastAsia="Times New Roman" w:hAnsi="Calibri" w:cs="Calibri"/>
          <w:color w:val="0B0C0C"/>
        </w:rPr>
        <w:t xml:space="preserve"> reflect that the past year has significantly reduced opportunities for organisations to reach, communicate with and support EU nationals, an extension to the deadline is advisable. This would reflect that, of the fourteen EU Member States imposing a deadline for UK nationals registering for a new status, two have set the deadline in September 2021, and six in December 2021. Only six out of 27 Member States have chosen to impose a June 2021 deadline. </w:t>
      </w:r>
    </w:p>
    <w:p w14:paraId="781C962E" w14:textId="77777777" w:rsidR="0064184D" w:rsidRDefault="0064184D">
      <w:pPr>
        <w:rPr>
          <w:rFonts w:ascii="Calibri" w:eastAsia="Times New Roman" w:hAnsi="Calibri" w:cs="Calibri"/>
          <w:color w:val="0B0C0C"/>
        </w:rPr>
      </w:pPr>
      <w:r>
        <w:rPr>
          <w:rFonts w:ascii="Calibri" w:eastAsia="Times New Roman" w:hAnsi="Calibri" w:cs="Calibri"/>
          <w:color w:val="0B0C0C"/>
        </w:rPr>
        <w:br w:type="page"/>
      </w:r>
    </w:p>
    <w:p w14:paraId="34BA077D" w14:textId="154DB8D1" w:rsidR="0064184D" w:rsidRPr="003E7ED3" w:rsidRDefault="0064184D" w:rsidP="007B00DC">
      <w:pPr>
        <w:pStyle w:val="Heading1"/>
        <w:numPr>
          <w:ilvl w:val="0"/>
          <w:numId w:val="45"/>
        </w:numPr>
        <w:rPr>
          <w:rFonts w:eastAsia="Times New Roman"/>
        </w:rPr>
      </w:pPr>
      <w:bookmarkStart w:id="19" w:name="_Toc72956761"/>
      <w:r w:rsidRPr="003E7ED3">
        <w:rPr>
          <w:rFonts w:eastAsia="Times New Roman"/>
        </w:rPr>
        <w:lastRenderedPageBreak/>
        <w:t>Avoiding the status gap</w:t>
      </w:r>
      <w:bookmarkEnd w:id="19"/>
    </w:p>
    <w:p w14:paraId="08AB5ABF" w14:textId="77777777" w:rsidR="0064184D" w:rsidRDefault="0064184D" w:rsidP="0064184D">
      <w:pPr>
        <w:pStyle w:val="NoSpacing"/>
        <w:rPr>
          <w:rFonts w:eastAsia="Times New Roman"/>
        </w:rPr>
      </w:pPr>
    </w:p>
    <w:p w14:paraId="2E7E1CD8" w14:textId="79353125" w:rsidR="0064184D" w:rsidRDefault="0064184D" w:rsidP="0064184D">
      <w:pPr>
        <w:pStyle w:val="Heading2"/>
        <w:rPr>
          <w:rFonts w:eastAsia="Times New Roman"/>
        </w:rPr>
      </w:pPr>
      <w:bookmarkStart w:id="20" w:name="_Toc72956762"/>
      <w:r w:rsidRPr="00E306F5">
        <w:rPr>
          <w:rFonts w:eastAsia="Times New Roman"/>
        </w:rPr>
        <w:t>Background</w:t>
      </w:r>
      <w:bookmarkEnd w:id="20"/>
    </w:p>
    <w:p w14:paraId="04F90798" w14:textId="2EBA7633" w:rsidR="0064184D" w:rsidRDefault="0064184D" w:rsidP="0064184D">
      <w:r w:rsidRPr="00B436CC">
        <w:t>Even where someone has a good reason for missing the</w:t>
      </w:r>
      <w:r>
        <w:t xml:space="preserve"> deadline, applies late and is awarded status, </w:t>
      </w:r>
      <w:r w:rsidRPr="00B436CC">
        <w:t xml:space="preserve">they nevertheless stand to lose their status and right of residence in the interim. </w:t>
      </w:r>
    </w:p>
    <w:p w14:paraId="33FBC2DA" w14:textId="42556150" w:rsidR="0064184D" w:rsidRDefault="0064184D" w:rsidP="0064184D">
      <w:r w:rsidRPr="00B436CC">
        <w:t>This could be devastating</w:t>
      </w:r>
      <w:r>
        <w:t xml:space="preserve">. </w:t>
      </w:r>
      <w:r w:rsidRPr="00B436CC">
        <w:t xml:space="preserve">Those affected could face a loss of access to public services, including benefits and housing, and see their rights to work and to rent disappear. </w:t>
      </w:r>
    </w:p>
    <w:p w14:paraId="6A79BB43" w14:textId="60830B48" w:rsidR="0064184D" w:rsidRDefault="0064184D" w:rsidP="0064184D">
      <w:r w:rsidRPr="00254959">
        <w:t xml:space="preserve">This has knock-on effects upon the obligations and risks faced by third parties. If employers and landlords know or have reason to suspect an employee or tenant has not applied to the EUSS by the deadline, </w:t>
      </w:r>
      <w:r>
        <w:t xml:space="preserve">then regardless of potential ‘good reasons’, </w:t>
      </w:r>
      <w:r w:rsidRPr="00254959">
        <w:t xml:space="preserve">as things stand, they risk criminal penalties for not dismissing or evicting those existing employees/tenants – or alternatively, for recruiting, or renting to new ones, it does not matter if they know of a good reason why an EUSS application has not been made in time. If they do not check EUSS </w:t>
      </w:r>
      <w:proofErr w:type="gramStart"/>
      <w:r w:rsidRPr="00254959">
        <w:t>status</w:t>
      </w:r>
      <w:proofErr w:type="gramEnd"/>
      <w:r w:rsidRPr="00254959">
        <w:t xml:space="preserve"> they may open themselves up to civil penalties. This could create a strong incentive to dismiss/refuse to recruit/evict/refuse to rent to EEA+ nationals, who though they have not applied to the EUSS in time, have not, according to the guidance, done anything ‘wrong’.    </w:t>
      </w:r>
    </w:p>
    <w:p w14:paraId="0964A740" w14:textId="2164F79F" w:rsidR="0064184D" w:rsidRDefault="0064184D" w:rsidP="0064184D">
      <w:r>
        <w:t>While an</w:t>
      </w:r>
      <w:r w:rsidRPr="00B436CC">
        <w:t xml:space="preserve"> applicant’s status </w:t>
      </w:r>
      <w:r>
        <w:t xml:space="preserve">may later be </w:t>
      </w:r>
      <w:r w:rsidRPr="00B436CC">
        <w:t>regularised, they may still have, in the interim, lost their job, home, or</w:t>
      </w:r>
      <w:r>
        <w:t xml:space="preserve"> </w:t>
      </w:r>
      <w:r w:rsidRPr="00B436CC">
        <w:t xml:space="preserve">more. </w:t>
      </w:r>
    </w:p>
    <w:p w14:paraId="5ED6A717" w14:textId="77777777" w:rsidR="001E6AD1" w:rsidRDefault="0064184D" w:rsidP="0064184D">
      <w:r w:rsidRPr="001E6AD1">
        <w:rPr>
          <w:b/>
          <w:bCs/>
        </w:rPr>
        <w:t>Even</w:t>
      </w:r>
      <w:r w:rsidRPr="001E6AD1">
        <w:rPr>
          <w:b/>
          <w:bCs/>
          <w:i/>
          <w:iCs/>
        </w:rPr>
        <w:t xml:space="preserve"> </w:t>
      </w:r>
      <w:r w:rsidRPr="001E6AD1">
        <w:rPr>
          <w:b/>
          <w:bCs/>
        </w:rPr>
        <w:t>those who do apply before the deadline</w:t>
      </w:r>
      <w:r w:rsidRPr="006A53C4">
        <w:t xml:space="preserve">, but who </w:t>
      </w:r>
      <w:proofErr w:type="gramStart"/>
      <w:r w:rsidRPr="006A53C4">
        <w:t>haven’t</w:t>
      </w:r>
      <w:proofErr w:type="gramEnd"/>
      <w:r w:rsidRPr="006A53C4">
        <w:t xml:space="preserve"> had an EUSS decision by then</w:t>
      </w:r>
      <w:r>
        <w:t xml:space="preserve"> may face a loss of a right to reside. </w:t>
      </w:r>
    </w:p>
    <w:p w14:paraId="58F4FAD9" w14:textId="277F6F1E" w:rsidR="0064184D" w:rsidRDefault="0064184D" w:rsidP="0064184D">
      <w:r w:rsidRPr="006A53C4">
        <w:t xml:space="preserve">The 2020 </w:t>
      </w:r>
      <w:r>
        <w:t xml:space="preserve">‘temporary protection’ </w:t>
      </w:r>
      <w:r w:rsidRPr="006A53C4">
        <w:t xml:space="preserve">regulations provide for a continued right to reside in that situation, IF the applicant was exercising a right to reside under the 2016 Regulations (typically being a worker, or had a right of permanent residence) ‘immediately before’ the end of transition – so on the </w:t>
      </w:r>
      <w:proofErr w:type="gramStart"/>
      <w:r w:rsidRPr="006A53C4">
        <w:t>31</w:t>
      </w:r>
      <w:r w:rsidRPr="006A53C4">
        <w:rPr>
          <w:vertAlign w:val="superscript"/>
        </w:rPr>
        <w:t>st</w:t>
      </w:r>
      <w:proofErr w:type="gramEnd"/>
      <w:r w:rsidRPr="006A53C4">
        <w:t xml:space="preserve"> December 2020. </w:t>
      </w:r>
    </w:p>
    <w:p w14:paraId="751DAC5F" w14:textId="3D6059CC" w:rsidR="0064184D" w:rsidRDefault="0064184D" w:rsidP="0064184D">
      <w:r>
        <w:t>This means that some EEA+ nationals will be subject to potentially burdensome conditions and checks, and a total loss of status if they do not meet those conditions, purely because the Home Office has not processed their application in time.</w:t>
      </w:r>
    </w:p>
    <w:p w14:paraId="0E6AB8CB" w14:textId="06FCCE77" w:rsidR="001E6AD1" w:rsidRDefault="0064184D" w:rsidP="0064184D">
      <w:r>
        <w:t xml:space="preserve">This creates an arbitrary difference in </w:t>
      </w:r>
      <w:proofErr w:type="gramStart"/>
      <w:r>
        <w:t>treatment, and</w:t>
      </w:r>
      <w:proofErr w:type="gramEnd"/>
      <w:r>
        <w:t xml:space="preserve"> puts thousands of EEA+ nationals’ residence security at risk. </w:t>
      </w:r>
    </w:p>
    <w:p w14:paraId="2B8964A1" w14:textId="77777777" w:rsidR="001E6AD1" w:rsidRDefault="001E6AD1">
      <w:r>
        <w:br w:type="page"/>
      </w:r>
    </w:p>
    <w:p w14:paraId="50E62D35" w14:textId="77777777" w:rsidR="001E6AD1" w:rsidRDefault="001E6AD1" w:rsidP="001E6AD1">
      <w:pPr>
        <w:pStyle w:val="Heading2"/>
        <w:rPr>
          <w:rFonts w:eastAsia="Times New Roman"/>
        </w:rPr>
      </w:pPr>
      <w:bookmarkStart w:id="21" w:name="_Toc72956763"/>
      <w:r w:rsidRPr="006A53C4">
        <w:rPr>
          <w:rFonts w:eastAsia="Times New Roman"/>
        </w:rPr>
        <w:lastRenderedPageBreak/>
        <w:t>Proposal</w:t>
      </w:r>
      <w:r>
        <w:rPr>
          <w:rFonts w:eastAsia="Times New Roman"/>
        </w:rPr>
        <w:t>: providing for temporary rights to reside</w:t>
      </w:r>
      <w:bookmarkEnd w:id="21"/>
    </w:p>
    <w:p w14:paraId="2961375A" w14:textId="77777777" w:rsidR="001E6AD1" w:rsidRDefault="001E6AD1" w:rsidP="001E6AD1">
      <w:pPr>
        <w:pStyle w:val="NoSpacing"/>
        <w:rPr>
          <w:rFonts w:eastAsia="Times New Roman"/>
        </w:rPr>
      </w:pPr>
    </w:p>
    <w:p w14:paraId="2557E99F" w14:textId="4AD50632" w:rsidR="001E6AD1" w:rsidRPr="001E6AD1" w:rsidRDefault="001E6AD1" w:rsidP="001E6AD1">
      <w:bookmarkStart w:id="22" w:name="_Toc72956764"/>
      <w:r w:rsidRPr="007B00DC">
        <w:rPr>
          <w:rStyle w:val="Heading3Char"/>
          <w:rFonts w:ascii="Calibri" w:hAnsi="Calibri" w:cs="Calibri"/>
          <w:b/>
          <w:bCs/>
        </w:rPr>
        <w:t>1. Provision</w:t>
      </w:r>
      <w:r w:rsidRPr="003E5B08">
        <w:rPr>
          <w:rStyle w:val="Heading3Char"/>
          <w:rFonts w:ascii="Calibri" w:hAnsi="Calibri" w:cs="Calibri"/>
          <w:b/>
          <w:bCs/>
        </w:rPr>
        <w:t xml:space="preserve"> of temporary right to reside for those eligible to make a late application</w:t>
      </w:r>
      <w:bookmarkEnd w:id="22"/>
      <w:r w:rsidRPr="001E6AD1">
        <w:rPr>
          <w:b/>
          <w:bCs/>
          <w:color w:val="002060"/>
        </w:rPr>
        <w:t xml:space="preserve">: </w:t>
      </w:r>
      <w:r w:rsidRPr="001E6AD1">
        <w:t xml:space="preserve">We suggest that the Home Office should, as a matter of urgency address the ‘status gap’ faced by people making late applications, providing for a temporary right to reside, from the end of the grace period, to those eligible to apply late to the EUSS, whether or not they have yet applied, until such a time as the final EUSS decision is produced. </w:t>
      </w:r>
    </w:p>
    <w:p w14:paraId="74A0A41F" w14:textId="42F7067B" w:rsidR="001E6AD1" w:rsidRPr="001E6AD1" w:rsidRDefault="001E6AD1" w:rsidP="001E6AD1">
      <w:r w:rsidRPr="001E6AD1">
        <w:t xml:space="preserve">As with the provisions for those encountered by immigration enforcement, at the point that an EEA+ national’s failure to apply for the EUSS comes to light, they could be given a ‘window’ in which to submit a late application, during which they have a temporary right to reside. </w:t>
      </w:r>
    </w:p>
    <w:p w14:paraId="13EFF65D" w14:textId="04B1555C" w:rsidR="001E6AD1" w:rsidRPr="006A53C4" w:rsidRDefault="001E6AD1" w:rsidP="001E6AD1">
      <w:r w:rsidRPr="001E6AD1">
        <w:t xml:space="preserve">This would not only protect the EU nationals in question; it would also protect employers and landlords from civil and criminal penalties, so reducing the imperative to dismiss or evict EU nationals who are in fact eligible for EUSS, and who can demonstrate good reasons for applying after the deadline.  </w:t>
      </w:r>
    </w:p>
    <w:p w14:paraId="27288FDD" w14:textId="77777777" w:rsidR="001E6AD1" w:rsidRDefault="001E6AD1" w:rsidP="001E6AD1">
      <w:pPr>
        <w:rPr>
          <w:b/>
          <w:bCs/>
        </w:rPr>
      </w:pPr>
      <w:bookmarkStart w:id="23" w:name="_Toc72956765"/>
      <w:r w:rsidRPr="007B00DC">
        <w:rPr>
          <w:rStyle w:val="Heading3Char"/>
          <w:rFonts w:ascii="Calibri" w:hAnsi="Calibri" w:cs="Calibri"/>
          <w:b/>
          <w:bCs/>
        </w:rPr>
        <w:t>2. Removal</w:t>
      </w:r>
      <w:r w:rsidRPr="003E5B08">
        <w:rPr>
          <w:rStyle w:val="Heading3Char"/>
          <w:rFonts w:ascii="Calibri" w:hAnsi="Calibri" w:cs="Calibri"/>
          <w:b/>
          <w:bCs/>
        </w:rPr>
        <w:t xml:space="preserve"> of the right to reside condition for those with in time applications</w:t>
      </w:r>
      <w:bookmarkEnd w:id="23"/>
      <w:r w:rsidRPr="001E6AD1">
        <w:rPr>
          <w:b/>
          <w:bCs/>
          <w:color w:val="002060"/>
        </w:rPr>
        <w:t xml:space="preserve">: </w:t>
      </w:r>
      <w:r w:rsidRPr="00254959">
        <w:t xml:space="preserve">we suggest that the Home Office removes the requirement for applicants who make </w:t>
      </w:r>
      <w:r w:rsidRPr="00254959">
        <w:rPr>
          <w:b/>
          <w:bCs/>
        </w:rPr>
        <w:t>in time</w:t>
      </w:r>
      <w:r w:rsidRPr="00254959">
        <w:t xml:space="preserve"> applications, but whose application is then delayed beyond the deadline to have been exercising rights to reside under the</w:t>
      </w:r>
      <w:r>
        <w:t xml:space="preserve"> </w:t>
      </w:r>
      <w:r w:rsidRPr="00254959">
        <w:t xml:space="preserve">2016 regulations on the </w:t>
      </w:r>
      <w:proofErr w:type="gramStart"/>
      <w:r w:rsidRPr="00254959">
        <w:t>31</w:t>
      </w:r>
      <w:r w:rsidRPr="00254959">
        <w:rPr>
          <w:vertAlign w:val="superscript"/>
        </w:rPr>
        <w:t>st</w:t>
      </w:r>
      <w:proofErr w:type="gramEnd"/>
      <w:r w:rsidRPr="00254959">
        <w:t xml:space="preserve"> December 2020. This condition creates an arbitrary difference in treatment </w:t>
      </w:r>
      <w:proofErr w:type="gramStart"/>
      <w:r w:rsidRPr="00254959">
        <w:t>as a result of</w:t>
      </w:r>
      <w:proofErr w:type="gramEnd"/>
      <w:r w:rsidRPr="00254959">
        <w:t xml:space="preserve"> matters outside of the applicants’ control – especially in light of potential delays processing decisions discussed in the next section. Instead,</w:t>
      </w:r>
      <w:r>
        <w:t xml:space="preserve"> </w:t>
      </w:r>
      <w:r w:rsidRPr="006156CC">
        <w:rPr>
          <w:b/>
          <w:bCs/>
        </w:rPr>
        <w:t>automatic temporary</w:t>
      </w:r>
      <w:r w:rsidRPr="00B223F3">
        <w:rPr>
          <w:b/>
          <w:bCs/>
        </w:rPr>
        <w:t xml:space="preserve"> rights </w:t>
      </w:r>
      <w:r>
        <w:rPr>
          <w:b/>
          <w:bCs/>
        </w:rPr>
        <w:t>should</w:t>
      </w:r>
      <w:r w:rsidRPr="00B223F3">
        <w:rPr>
          <w:b/>
          <w:bCs/>
        </w:rPr>
        <w:t xml:space="preserve"> be </w:t>
      </w:r>
      <w:r>
        <w:rPr>
          <w:b/>
          <w:bCs/>
        </w:rPr>
        <w:t>provided</w:t>
      </w:r>
      <w:r w:rsidRPr="00B223F3">
        <w:rPr>
          <w:b/>
          <w:bCs/>
        </w:rPr>
        <w:t xml:space="preserve"> to anyone with a pending EUSS application</w:t>
      </w:r>
      <w:r>
        <w:rPr>
          <w:b/>
          <w:bCs/>
        </w:rPr>
        <w:t xml:space="preserve"> and until the end of the appeals process for that application</w:t>
      </w:r>
      <w:r w:rsidRPr="00B223F3">
        <w:rPr>
          <w:b/>
          <w:bCs/>
        </w:rPr>
        <w:t xml:space="preserve">. </w:t>
      </w:r>
    </w:p>
    <w:p w14:paraId="1729F53B" w14:textId="77777777" w:rsidR="001E6AD1" w:rsidRDefault="001E6AD1">
      <w:pPr>
        <w:rPr>
          <w:b/>
          <w:bCs/>
        </w:rPr>
      </w:pPr>
      <w:r>
        <w:rPr>
          <w:b/>
          <w:bCs/>
        </w:rPr>
        <w:br w:type="page"/>
      </w:r>
    </w:p>
    <w:p w14:paraId="73B486DC" w14:textId="4A769277" w:rsidR="001E6AD1" w:rsidRDefault="001E6AD1" w:rsidP="007B00DC">
      <w:pPr>
        <w:pStyle w:val="Heading1"/>
        <w:numPr>
          <w:ilvl w:val="0"/>
          <w:numId w:val="45"/>
        </w:numPr>
      </w:pPr>
      <w:bookmarkStart w:id="24" w:name="_Toc72956766"/>
      <w:r w:rsidRPr="00B11538">
        <w:lastRenderedPageBreak/>
        <w:t xml:space="preserve">Avoiding unnecessary delays that push applicants past the </w:t>
      </w:r>
      <w:proofErr w:type="gramStart"/>
      <w:r w:rsidRPr="00B11538">
        <w:t>deadline</w:t>
      </w:r>
      <w:bookmarkEnd w:id="24"/>
      <w:proofErr w:type="gramEnd"/>
    </w:p>
    <w:p w14:paraId="41DDBA45" w14:textId="77777777" w:rsidR="001E6AD1" w:rsidRPr="001E6AD1" w:rsidRDefault="001E6AD1" w:rsidP="001E6AD1"/>
    <w:p w14:paraId="16D3EE1D" w14:textId="77777777" w:rsidR="001E6AD1" w:rsidRPr="001E6AD1" w:rsidRDefault="001E6AD1" w:rsidP="001E6AD1">
      <w:pPr>
        <w:pStyle w:val="Heading2"/>
      </w:pPr>
      <w:bookmarkStart w:id="25" w:name="_Toc72956767"/>
      <w:r w:rsidRPr="001E6AD1">
        <w:t>Background</w:t>
      </w:r>
      <w:bookmarkEnd w:id="25"/>
    </w:p>
    <w:p w14:paraId="2858FC36" w14:textId="33D7FB96" w:rsidR="001E6AD1" w:rsidRPr="001E6AD1" w:rsidRDefault="001E6AD1" w:rsidP="00602F1C">
      <w:r w:rsidRPr="009C27C6">
        <w:t xml:space="preserve">Delays in the </w:t>
      </w:r>
      <w:r w:rsidR="008A1C6B">
        <w:t>EUSS</w:t>
      </w:r>
      <w:r w:rsidRPr="009C27C6">
        <w:t xml:space="preserve"> can have significant impact on the rights of EU</w:t>
      </w:r>
      <w:r w:rsidRPr="001E6AD1">
        <w:rPr>
          <w:b/>
        </w:rPr>
        <w:t xml:space="preserve"> </w:t>
      </w:r>
      <w:r w:rsidRPr="001E6AD1">
        <w:t xml:space="preserve">nationals. As the deadline for EUSS applications approaches, unreasonable delays could push EU citizens past the cut-off point and deprive them of a free and accessible form of redress – a new application. </w:t>
      </w:r>
    </w:p>
    <w:p w14:paraId="78D07A28" w14:textId="77777777" w:rsidR="001E6AD1" w:rsidRPr="001E6AD1" w:rsidRDefault="001E6AD1" w:rsidP="00602F1C">
      <w:r w:rsidRPr="001E6AD1">
        <w:t>While the Government website says that ‘It usually takes around 5 working days for complete applications to be processed’,</w:t>
      </w:r>
      <w:r w:rsidRPr="009C27C6">
        <w:rPr>
          <w:vertAlign w:val="superscript"/>
        </w:rPr>
        <w:footnoteReference w:id="13"/>
      </w:r>
      <w:r w:rsidRPr="001E6AD1">
        <w:t xml:space="preserve"> there is no public data on average waiting times or detailing how many applications have waited over three months, or over six months. The most recent data available on delays, from a freedom of information request, identifies that on 31</w:t>
      </w:r>
      <w:r w:rsidRPr="001E6AD1">
        <w:rPr>
          <w:vertAlign w:val="superscript"/>
        </w:rPr>
        <w:t>st</w:t>
      </w:r>
      <w:r w:rsidRPr="001E6AD1">
        <w:t xml:space="preserve"> December 2020 over 9,000 applications have been waiting for a decision for over 3 months, nearly 8,000 have waited between 3 and 6 months and over 6,000 applications have waited over a year.</w:t>
      </w:r>
      <w:r>
        <w:rPr>
          <w:rStyle w:val="FootnoteReference"/>
          <w:bCs/>
        </w:rPr>
        <w:footnoteReference w:id="14"/>
      </w:r>
      <w:r w:rsidRPr="001E6AD1">
        <w:t xml:space="preserve"> This data was lifted from a live database of cases yet to be decided on 31</w:t>
      </w:r>
      <w:r w:rsidRPr="001E6AD1">
        <w:rPr>
          <w:vertAlign w:val="superscript"/>
        </w:rPr>
        <w:t>st</w:t>
      </w:r>
      <w:r w:rsidRPr="001E6AD1">
        <w:t xml:space="preserve"> December 2020. Some of these may have since been decided, but it is also likely that more applications will be caught up in this backlog. </w:t>
      </w:r>
    </w:p>
    <w:p w14:paraId="70EB48DD" w14:textId="77777777" w:rsidR="001E6AD1" w:rsidRPr="001E6AD1" w:rsidRDefault="001E6AD1" w:rsidP="00602F1C">
      <w:r w:rsidRPr="001E6AD1">
        <w:t>Some of these delays will be a result of requesting further evidence from applicants. The Home Office told the</w:t>
      </w:r>
      <w:r w:rsidRPr="001E6AD1">
        <w:rPr>
          <w:color w:val="002060"/>
        </w:rPr>
        <w:t xml:space="preserve"> </w:t>
      </w:r>
      <w:r w:rsidRPr="001E6AD1">
        <w:t>immigration inspector</w:t>
      </w:r>
      <w:r w:rsidRPr="009C27C6">
        <w:rPr>
          <w:vertAlign w:val="superscript"/>
        </w:rPr>
        <w:footnoteReference w:id="15"/>
      </w:r>
      <w:r w:rsidRPr="001E6AD1">
        <w:t xml:space="preserve"> that around 40% of pending cases in June 2019 “could not be resolved until the applicant submitted further evidence”. The remaining proportion of delays can be linked to </w:t>
      </w:r>
      <w:proofErr w:type="gramStart"/>
      <w:r w:rsidRPr="001E6AD1">
        <w:t>a number of</w:t>
      </w:r>
      <w:proofErr w:type="gramEnd"/>
      <w:r w:rsidRPr="001E6AD1">
        <w:t xml:space="preserve"> possible reasons including where a paper application is required for derivative rights or a lack of valid ID or passport, where non-EEA family members are applying without a BRP issued under EU law, where there are criminal convictions and pending investigations.</w:t>
      </w:r>
    </w:p>
    <w:p w14:paraId="7E86629D" w14:textId="77777777" w:rsidR="00602F1C" w:rsidRDefault="001E6AD1" w:rsidP="00602F1C">
      <w:r w:rsidRPr="00CC39CD">
        <w:t xml:space="preserve">Where there are significant delays in EUSS applications, this can have a knock-on effect for access to benefits. </w:t>
      </w:r>
    </w:p>
    <w:p w14:paraId="10D460CE" w14:textId="77777777" w:rsidR="00602F1C" w:rsidRDefault="00602F1C">
      <w:pPr>
        <w:rPr>
          <w:bCs/>
        </w:rPr>
      </w:pPr>
      <w:r>
        <w:rPr>
          <w:bCs/>
        </w:rPr>
        <w:br w:type="page"/>
      </w:r>
    </w:p>
    <w:p w14:paraId="1BAFFD73" w14:textId="77777777" w:rsidR="00602F1C" w:rsidRDefault="00602F1C" w:rsidP="001E6AD1">
      <w:pPr>
        <w:rPr>
          <w:b/>
          <w:bCs/>
        </w:rPr>
      </w:pPr>
      <w:r>
        <w:rPr>
          <w:bCs/>
          <w:noProof/>
        </w:rPr>
        <w:lastRenderedPageBreak/>
        <mc:AlternateContent>
          <mc:Choice Requires="wps">
            <w:drawing>
              <wp:inline distT="0" distB="0" distL="0" distR="0" wp14:anchorId="74D410C1" wp14:editId="50A7BDF9">
                <wp:extent cx="5665304" cy="3240000"/>
                <wp:effectExtent l="0" t="0" r="12065" b="17780"/>
                <wp:docPr id="8" name="Rectangle: Rounded Corners 8"/>
                <wp:cNvGraphicFramePr/>
                <a:graphic xmlns:a="http://schemas.openxmlformats.org/drawingml/2006/main">
                  <a:graphicData uri="http://schemas.microsoft.com/office/word/2010/wordprocessingShape">
                    <wps:wsp>
                      <wps:cNvSpPr/>
                      <wps:spPr>
                        <a:xfrm>
                          <a:off x="0" y="0"/>
                          <a:ext cx="5665304" cy="3240000"/>
                        </a:xfrm>
                        <a:prstGeom prst="roundRect">
                          <a:avLst/>
                        </a:prstGeom>
                        <a:solidFill>
                          <a:srgbClr val="00004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5460E1" w14:textId="19EB0157" w:rsidR="00602F1C" w:rsidRPr="00602F1C" w:rsidRDefault="00AE30BF" w:rsidP="00602F1C">
                            <w:pPr>
                              <w:rPr>
                                <w:b/>
                                <w:bCs/>
                                <w:u w:val="single"/>
                                <w:shd w:val="clear" w:color="auto" w:fill="000046"/>
                              </w:rPr>
                            </w:pPr>
                            <w:r>
                              <w:rPr>
                                <w:b/>
                                <w:bCs/>
                                <w:u w:val="single"/>
                                <w:shd w:val="clear" w:color="auto" w:fill="000046"/>
                              </w:rPr>
                              <w:t xml:space="preserve">A </w:t>
                            </w:r>
                            <w:r w:rsidR="00602F1C" w:rsidRPr="00602F1C">
                              <w:rPr>
                                <w:b/>
                                <w:bCs/>
                                <w:u w:val="single"/>
                                <w:shd w:val="clear" w:color="auto" w:fill="000046"/>
                              </w:rPr>
                              <w:t xml:space="preserve">Case </w:t>
                            </w:r>
                            <w:proofErr w:type="gramStart"/>
                            <w:r w:rsidR="00602F1C" w:rsidRPr="00602F1C">
                              <w:rPr>
                                <w:b/>
                                <w:bCs/>
                                <w:u w:val="single"/>
                                <w:shd w:val="clear" w:color="auto" w:fill="000046"/>
                              </w:rPr>
                              <w:t>study</w:t>
                            </w:r>
                            <w:proofErr w:type="gramEnd"/>
                            <w:r w:rsidR="00602F1C" w:rsidRPr="00602F1C">
                              <w:rPr>
                                <w:b/>
                                <w:bCs/>
                                <w:u w:val="single"/>
                                <w:shd w:val="clear" w:color="auto" w:fill="000046"/>
                              </w:rPr>
                              <w:t xml:space="preserve"> </w:t>
                            </w:r>
                          </w:p>
                          <w:p w14:paraId="1B155F4C" w14:textId="33CAD0C5" w:rsidR="00602F1C" w:rsidRPr="003D70BA" w:rsidRDefault="00602F1C" w:rsidP="00602F1C">
                            <w:pPr>
                              <w:rPr>
                                <w:shd w:val="clear" w:color="auto" w:fill="000046"/>
                              </w:rPr>
                            </w:pPr>
                            <w:r w:rsidRPr="003D70BA">
                              <w:rPr>
                                <w:bCs/>
                                <w:shd w:val="clear" w:color="auto" w:fill="000046"/>
                              </w:rPr>
                              <w:t>The EU Rights and Brexit Hub has seen an example where a non-EEA mother and her children waited 15 months for an outcome of an application to the EUSS. She had lived in the UK for 7 years when she applied for status. Her application for Universal Credit was refused as she could not establish a right to reside without access to her EEA husbands’ work history. Instead</w:t>
                            </w:r>
                            <w:r w:rsidR="005B487C">
                              <w:rPr>
                                <w:bCs/>
                                <w:shd w:val="clear" w:color="auto" w:fill="000046"/>
                              </w:rPr>
                              <w:t>,</w:t>
                            </w:r>
                            <w:r w:rsidRPr="003D70BA">
                              <w:rPr>
                                <w:bCs/>
                                <w:shd w:val="clear" w:color="auto" w:fill="000046"/>
                              </w:rPr>
                              <w:t xml:space="preserve"> she had to wait until her EUSS application was decided, and she was granted settled status. During this time, she had to rely on charities and foodbanks. By the </w:t>
                            </w:r>
                            <w:proofErr w:type="gramStart"/>
                            <w:r w:rsidRPr="003D70BA">
                              <w:rPr>
                                <w:bCs/>
                                <w:shd w:val="clear" w:color="auto" w:fill="000046"/>
                              </w:rPr>
                              <w:t>time</w:t>
                            </w:r>
                            <w:proofErr w:type="gramEnd"/>
                            <w:r w:rsidRPr="003D70BA">
                              <w:rPr>
                                <w:bCs/>
                                <w:shd w:val="clear" w:color="auto" w:fill="000046"/>
                              </w:rPr>
                              <w:t xml:space="preserve"> her application for settled status was decided she had missed out on over 13 months of Universal Credit payments. She could not appeal the initial refusal as the date of her settled status was awarded at the point of decision rather than the date of application. The length of delay in this case was unreasonable and caused significant hardship to the family affected.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4D410C1" id="Rectangle: Rounded Corners 8" o:spid="_x0000_s1029" style="width:446.1pt;height:255.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" fillcolor="#000046" strokecolor="#1f3763 [1604]" strokeweight="1pt">
                <v:stroke joinstyle="miter"/>
                <v:textbox>
                  <w:txbxContent>
                    <w:p w14:paraId="175460E1" w14:textId="19EB0157" w:rsidR="00602F1C" w:rsidRPr="00602F1C" w:rsidRDefault="00AE30BF" w:rsidP="00602F1C">
                      <w:pPr>
                        <w:rPr>
                          <w:b/>
                          <w:bCs/>
                          <w:u w:val="single"/>
                          <w:shd w:val="clear" w:color="auto" w:fill="000046"/>
                        </w:rPr>
                      </w:pPr>
                      <w:r>
                        <w:rPr>
                          <w:b/>
                          <w:bCs/>
                          <w:u w:val="single"/>
                          <w:shd w:val="clear" w:color="auto" w:fill="000046"/>
                        </w:rPr>
                        <w:t xml:space="preserve">A </w:t>
                      </w:r>
                      <w:r w:rsidR="00602F1C" w:rsidRPr="00602F1C">
                        <w:rPr>
                          <w:b/>
                          <w:bCs/>
                          <w:u w:val="single"/>
                          <w:shd w:val="clear" w:color="auto" w:fill="000046"/>
                        </w:rPr>
                        <w:t xml:space="preserve">Case </w:t>
                      </w:r>
                      <w:proofErr w:type="gramStart"/>
                      <w:r w:rsidR="00602F1C" w:rsidRPr="00602F1C">
                        <w:rPr>
                          <w:b/>
                          <w:bCs/>
                          <w:u w:val="single"/>
                          <w:shd w:val="clear" w:color="auto" w:fill="000046"/>
                        </w:rPr>
                        <w:t>study</w:t>
                      </w:r>
                      <w:proofErr w:type="gramEnd"/>
                      <w:r w:rsidR="00602F1C" w:rsidRPr="00602F1C">
                        <w:rPr>
                          <w:b/>
                          <w:bCs/>
                          <w:u w:val="single"/>
                          <w:shd w:val="clear" w:color="auto" w:fill="000046"/>
                        </w:rPr>
                        <w:t xml:space="preserve"> </w:t>
                      </w:r>
                    </w:p>
                    <w:p w14:paraId="1B155F4C" w14:textId="33CAD0C5" w:rsidR="00602F1C" w:rsidRPr="003D70BA" w:rsidRDefault="00602F1C" w:rsidP="00602F1C">
                      <w:pPr>
                        <w:rPr>
                          <w:shd w:val="clear" w:color="auto" w:fill="000046"/>
                        </w:rPr>
                      </w:pPr>
                      <w:r w:rsidRPr="003D70BA">
                        <w:rPr>
                          <w:bCs/>
                          <w:shd w:val="clear" w:color="auto" w:fill="000046"/>
                        </w:rPr>
                        <w:t>The EU Rights and Brexit Hub has seen an example where a non-EEA mother and her children waited 15 months for an outcome of an application to the EUSS. She had lived in the UK for 7 years when she applied for status. Her application for Universal Credit was refused as she could not establish a right to reside without access to her EEA husbands’ work history. Instead</w:t>
                      </w:r>
                      <w:r w:rsidR="005B487C">
                        <w:rPr>
                          <w:bCs/>
                          <w:shd w:val="clear" w:color="auto" w:fill="000046"/>
                        </w:rPr>
                        <w:t>,</w:t>
                      </w:r>
                      <w:r w:rsidRPr="003D70BA">
                        <w:rPr>
                          <w:bCs/>
                          <w:shd w:val="clear" w:color="auto" w:fill="000046"/>
                        </w:rPr>
                        <w:t xml:space="preserve"> she had to wait until her EUSS application was decided, and she was granted settled status. During this time, she had to rely on charities and foodbanks. By the </w:t>
                      </w:r>
                      <w:proofErr w:type="gramStart"/>
                      <w:r w:rsidRPr="003D70BA">
                        <w:rPr>
                          <w:bCs/>
                          <w:shd w:val="clear" w:color="auto" w:fill="000046"/>
                        </w:rPr>
                        <w:t>time</w:t>
                      </w:r>
                      <w:proofErr w:type="gramEnd"/>
                      <w:r w:rsidRPr="003D70BA">
                        <w:rPr>
                          <w:bCs/>
                          <w:shd w:val="clear" w:color="auto" w:fill="000046"/>
                        </w:rPr>
                        <w:t xml:space="preserve"> her application for settled status was decided she had missed out on over 13 months of Universal Credit payments. She could not appeal the initial refusal as the date of her settled status was awarded at the point of decision rather than the date of application. The length of delay in this case was unreasonable and caused significant hardship to the family affected.</w:t>
                      </w:r>
                    </w:p>
                  </w:txbxContent>
                </v:textbox>
                <w10:anchorlock/>
              </v:roundrect>
            </w:pict>
          </mc:Fallback>
        </mc:AlternateContent>
      </w:r>
    </w:p>
    <w:p w14:paraId="4319C202" w14:textId="3C6E426C" w:rsidR="00602F1C" w:rsidRDefault="00602F1C" w:rsidP="00602F1C">
      <w:pPr>
        <w:pStyle w:val="Heading2"/>
      </w:pPr>
      <w:bookmarkStart w:id="26" w:name="_Toc72956768"/>
      <w:r w:rsidRPr="009A604F">
        <w:t>Proposals: data analysis</w:t>
      </w:r>
      <w:bookmarkEnd w:id="26"/>
    </w:p>
    <w:p w14:paraId="6CF704CB" w14:textId="77777777" w:rsidR="00602F1C" w:rsidRPr="00602F1C" w:rsidRDefault="00602F1C" w:rsidP="00602F1C">
      <w:pPr>
        <w:pStyle w:val="NoSpacing"/>
      </w:pPr>
    </w:p>
    <w:p w14:paraId="4E349C4B" w14:textId="7392C3DB" w:rsidR="00602F1C" w:rsidRPr="00602F1C" w:rsidRDefault="00602F1C" w:rsidP="00602F1C">
      <w:bookmarkStart w:id="27" w:name="_Toc72956769"/>
      <w:r>
        <w:rPr>
          <w:rStyle w:val="Heading3Char"/>
          <w:rFonts w:ascii="Calibri" w:hAnsi="Calibri" w:cs="Calibri"/>
          <w:b/>
          <w:bCs/>
        </w:rPr>
        <w:t xml:space="preserve">1. </w:t>
      </w:r>
      <w:r w:rsidRPr="00602F1C">
        <w:rPr>
          <w:rStyle w:val="Heading3Char"/>
          <w:rFonts w:ascii="Calibri" w:hAnsi="Calibri" w:cs="Calibri"/>
          <w:b/>
          <w:bCs/>
        </w:rPr>
        <w:t>Collecting and publish data on delays:</w:t>
      </w:r>
      <w:bookmarkEnd w:id="27"/>
      <w:r w:rsidRPr="00602F1C">
        <w:t xml:space="preserve"> One benefit of moving the application process to a digital platform is the easy production of data which should translate to greater transparency of Home Office processes. We recommend the publication of Home Office data on average EUSS waiting times, and numbers of EUSS applications with waiting times over three, over six and over twelve months.</w:t>
      </w:r>
    </w:p>
    <w:p w14:paraId="535CD3B8" w14:textId="3D95586B" w:rsidR="00602F1C" w:rsidRPr="00602F1C" w:rsidRDefault="00602F1C" w:rsidP="00602F1C">
      <w:bookmarkStart w:id="28" w:name="_Toc72956770"/>
      <w:r>
        <w:rPr>
          <w:rStyle w:val="Heading3Char"/>
          <w:rFonts w:ascii="Calibri" w:hAnsi="Calibri" w:cs="Calibri"/>
          <w:b/>
          <w:bCs/>
        </w:rPr>
        <w:t xml:space="preserve">2. </w:t>
      </w:r>
      <w:r w:rsidRPr="00602F1C">
        <w:rPr>
          <w:rStyle w:val="Heading3Char"/>
          <w:rFonts w:ascii="Calibri" w:hAnsi="Calibri" w:cs="Calibri"/>
          <w:b/>
          <w:bCs/>
        </w:rPr>
        <w:t>Delay tracking and mitigation of any disproportionate impact:</w:t>
      </w:r>
      <w:bookmarkEnd w:id="28"/>
      <w:r w:rsidRPr="00602F1C">
        <w:rPr>
          <w:i/>
          <w:iCs/>
        </w:rPr>
        <w:t xml:space="preserve"> </w:t>
      </w:r>
      <w:r w:rsidRPr="00602F1C">
        <w:t>The publication of a regular update to delays seen in the EUSS system and a breakdown of the reasons for these delays would help to spot trends, and to identify where people are at risk of losing the opportunity to reapply. Where trends are spotted, particularly if they have a disproportionate impact on a group of applicants, this could inform the inclusion of further good reasons for a late subsequent application and ensure that this form of redress is not lost due to unreasonable delay.</w:t>
      </w:r>
    </w:p>
    <w:p w14:paraId="73464DA0" w14:textId="77777777" w:rsidR="00602F1C" w:rsidRDefault="00602F1C">
      <w:pPr>
        <w:rPr>
          <w:b/>
          <w:bCs/>
        </w:rPr>
      </w:pPr>
      <w:r>
        <w:rPr>
          <w:b/>
          <w:bCs/>
        </w:rPr>
        <w:br w:type="page"/>
      </w:r>
    </w:p>
    <w:p w14:paraId="6B1CE28B" w14:textId="5A677630" w:rsidR="00602F1C" w:rsidRPr="003E7ED3" w:rsidRDefault="00602F1C" w:rsidP="007B00DC">
      <w:pPr>
        <w:pStyle w:val="Heading1"/>
        <w:numPr>
          <w:ilvl w:val="0"/>
          <w:numId w:val="45"/>
        </w:numPr>
      </w:pPr>
      <w:bookmarkStart w:id="29" w:name="_Toc72956771"/>
      <w:r w:rsidRPr="003E7ED3">
        <w:lastRenderedPageBreak/>
        <w:t>Ensuring consistency in decision making for late applications</w:t>
      </w:r>
      <w:bookmarkEnd w:id="29"/>
    </w:p>
    <w:p w14:paraId="403C3EF2" w14:textId="02C54764" w:rsidR="00602F1C" w:rsidRDefault="00602F1C" w:rsidP="00602F1C">
      <w:pPr>
        <w:rPr>
          <w:bCs/>
          <w:i/>
          <w:iCs/>
        </w:rPr>
      </w:pPr>
    </w:p>
    <w:p w14:paraId="045070A0" w14:textId="14F25929" w:rsidR="003D0644" w:rsidRDefault="003D0644" w:rsidP="003D0644">
      <w:pPr>
        <w:pStyle w:val="Heading2"/>
      </w:pPr>
      <w:bookmarkStart w:id="30" w:name="_Toc72956772"/>
      <w:r>
        <w:t>Background</w:t>
      </w:r>
      <w:bookmarkEnd w:id="30"/>
    </w:p>
    <w:p w14:paraId="6E9ED499" w14:textId="55B7B966" w:rsidR="00602F1C" w:rsidRPr="00E653BF" w:rsidRDefault="00E653BF" w:rsidP="00602F1C">
      <w:pPr>
        <w:rPr>
          <w:bCs/>
        </w:rPr>
      </w:pPr>
      <w:r>
        <w:rPr>
          <w:bCs/>
        </w:rPr>
        <w:t xml:space="preserve">While the guidance on reasonable grounds for missing the deadline is potentially expansive, there are </w:t>
      </w:r>
      <w:proofErr w:type="gramStart"/>
      <w:r>
        <w:rPr>
          <w:bCs/>
        </w:rPr>
        <w:t>a number of</w:t>
      </w:r>
      <w:proofErr w:type="gramEnd"/>
      <w:r>
        <w:rPr>
          <w:bCs/>
        </w:rPr>
        <w:t xml:space="preserve"> drawbacks in terms of legal certainty in relying upon </w:t>
      </w:r>
      <w:r w:rsidRPr="00E653BF">
        <w:rPr>
          <w:b/>
        </w:rPr>
        <w:t>guidance</w:t>
      </w:r>
      <w:r>
        <w:rPr>
          <w:b/>
        </w:rPr>
        <w:t xml:space="preserve"> only</w:t>
      </w:r>
      <w:r>
        <w:rPr>
          <w:bCs/>
        </w:rPr>
        <w:t xml:space="preserve">. </w:t>
      </w:r>
      <w:r w:rsidR="00602F1C" w:rsidRPr="00F614A4">
        <w:t xml:space="preserve">There has been no attempt to codify the commitments contained therein, or to create ‘hard’ rights for the vulnerable citizens affected. </w:t>
      </w:r>
    </w:p>
    <w:p w14:paraId="12402491" w14:textId="2B8F5DC8" w:rsidR="00602F1C" w:rsidRPr="00B67009" w:rsidRDefault="00602F1C" w:rsidP="00602F1C">
      <w:r w:rsidRPr="00B67009">
        <w:t xml:space="preserve">It creates a huge set of discretionary powers and responsibilities for decision-makers. There will inevitably be </w:t>
      </w:r>
      <w:r w:rsidRPr="00B67009">
        <w:rPr>
          <w:b/>
        </w:rPr>
        <w:t>different interpretations and applications</w:t>
      </w:r>
      <w:r w:rsidRPr="00B67009">
        <w:t xml:space="preserve"> of this guidance, given that so much is effectively left to decision-maker discretion.</w:t>
      </w:r>
      <w:r>
        <w:t xml:space="preserve"> </w:t>
      </w:r>
      <w:r w:rsidRPr="00B67009">
        <w:t xml:space="preserve">This variation is inevitable not least because of the </w:t>
      </w:r>
      <w:r w:rsidRPr="00B67009">
        <w:rPr>
          <w:b/>
        </w:rPr>
        <w:t>differences in approach taken elsewhere in the immigration rules</w:t>
      </w:r>
      <w:r w:rsidRPr="00B67009">
        <w:t xml:space="preserve"> to late applications. </w:t>
      </w:r>
    </w:p>
    <w:p w14:paraId="41C7915D" w14:textId="360D8A6A" w:rsidR="00602F1C" w:rsidRDefault="00602F1C" w:rsidP="00602F1C">
      <w:r>
        <w:t>S</w:t>
      </w:r>
      <w:r w:rsidRPr="00F614A4">
        <w:t>ome decision makers will treat the guidance as ‘nearly’ exhaustive; some will note the reliance upon examples where applications are only a few months late</w:t>
      </w:r>
      <w:r>
        <w:t xml:space="preserve">; others will note that examples involving children involve applications made at or near the age of majority; and each may infer they should refuse those cases that look different. They will take different approaches to longer </w:t>
      </w:r>
      <w:proofErr w:type="gramStart"/>
      <w:r>
        <w:t>delays, and</w:t>
      </w:r>
      <w:proofErr w:type="gramEnd"/>
      <w:r>
        <w:t xml:space="preserve"> give different weights to factors such as past unsuccessful applications made by victims of abuse. </w:t>
      </w:r>
    </w:p>
    <w:p w14:paraId="65C19BEF" w14:textId="7B3B75BA" w:rsidR="00602F1C" w:rsidRDefault="00602F1C" w:rsidP="00602F1C">
      <w:pPr>
        <w:pStyle w:val="Heading2"/>
      </w:pPr>
      <w:bookmarkStart w:id="31" w:name="_Toc72956773"/>
      <w:r>
        <w:t>Proposal: Training, monitoring</w:t>
      </w:r>
      <w:r w:rsidR="003E5B08">
        <w:t>,</w:t>
      </w:r>
      <w:r>
        <w:t xml:space="preserve"> reporting</w:t>
      </w:r>
      <w:r w:rsidR="003E5B08">
        <w:t xml:space="preserve"> &amp; recording</w:t>
      </w:r>
      <w:bookmarkEnd w:id="31"/>
    </w:p>
    <w:p w14:paraId="4F880C3F" w14:textId="77777777" w:rsidR="00602F1C" w:rsidRDefault="00602F1C" w:rsidP="00602F1C">
      <w:pPr>
        <w:pStyle w:val="NoSpacing"/>
      </w:pPr>
    </w:p>
    <w:p w14:paraId="16F6AA3D" w14:textId="0EBD9421" w:rsidR="00602F1C" w:rsidRDefault="00602F1C" w:rsidP="00602F1C">
      <w:r w:rsidRPr="00602F1C">
        <w:rPr>
          <w:b/>
          <w:bCs/>
          <w:color w:val="002060"/>
        </w:rPr>
        <w:t>1. Training</w:t>
      </w:r>
      <w:r>
        <w:rPr>
          <w:b/>
          <w:bCs/>
        </w:rPr>
        <w:t xml:space="preserve">: </w:t>
      </w:r>
      <w:r w:rsidRPr="00F614A4">
        <w:t xml:space="preserve">We suggest that the Home </w:t>
      </w:r>
      <w:r w:rsidRPr="00B223F3">
        <w:t>Office trains all decision makers working with late application requests, on</w:t>
      </w:r>
      <w:r>
        <w:t xml:space="preserve"> the approach to be taken.</w:t>
      </w:r>
    </w:p>
    <w:p w14:paraId="29DB2C00" w14:textId="52E9D4D1" w:rsidR="00602F1C" w:rsidRPr="00EF217B" w:rsidRDefault="00602F1C" w:rsidP="00602F1C">
      <w:pPr>
        <w:rPr>
          <w:u w:val="single"/>
        </w:rPr>
      </w:pPr>
      <w:r w:rsidRPr="00602F1C">
        <w:rPr>
          <w:b/>
          <w:bCs/>
          <w:color w:val="002060"/>
        </w:rPr>
        <w:t xml:space="preserve">2. Monitoring: </w:t>
      </w:r>
      <w:r w:rsidRPr="00F614A4">
        <w:t>The Home Office should</w:t>
      </w:r>
      <w:r w:rsidRPr="00F614A4">
        <w:rPr>
          <w:b/>
          <w:bCs/>
        </w:rPr>
        <w:t xml:space="preserve"> </w:t>
      </w:r>
      <w:r w:rsidRPr="00B223F3">
        <w:t>monitor all late application decisions, to spot outliers and moderate decisions where</w:t>
      </w:r>
      <w:r w:rsidRPr="00F614A4">
        <w:t xml:space="preserve"> appropriate to ensure consistency in approach.</w:t>
      </w:r>
    </w:p>
    <w:p w14:paraId="5460B027" w14:textId="33205C21" w:rsidR="00602F1C" w:rsidRPr="00602F1C" w:rsidRDefault="00602F1C" w:rsidP="00602F1C">
      <w:r w:rsidRPr="00602F1C">
        <w:rPr>
          <w:b/>
          <w:bCs/>
          <w:color w:val="002060"/>
        </w:rPr>
        <w:t>3. Reporting:</w:t>
      </w:r>
      <w:r w:rsidRPr="00602F1C">
        <w:rPr>
          <w:color w:val="002060"/>
        </w:rPr>
        <w:t xml:space="preserve"> </w:t>
      </w:r>
      <w:r w:rsidRPr="00EF217B">
        <w:t xml:space="preserve">The Home Office </w:t>
      </w:r>
      <w:r w:rsidRPr="00B223F3">
        <w:t>should share regular updates on the number of late applications and their success.</w:t>
      </w:r>
    </w:p>
    <w:p w14:paraId="294ED634" w14:textId="3465F046" w:rsidR="00602F1C" w:rsidRPr="00602F1C" w:rsidRDefault="00602F1C" w:rsidP="00602F1C">
      <w:r w:rsidRPr="00842B8D">
        <w:t xml:space="preserve">The new guidance states that where a late application is </w:t>
      </w:r>
      <w:proofErr w:type="gramStart"/>
      <w:r w:rsidRPr="00842B8D">
        <w:t>made, but</w:t>
      </w:r>
      <w:proofErr w:type="gramEnd"/>
      <w:r w:rsidRPr="00842B8D">
        <w:t xml:space="preserve"> deemed to not have ‘reasonable grounds’ it will be refused on eligibility grounds. </w:t>
      </w:r>
    </w:p>
    <w:p w14:paraId="33A20EDA" w14:textId="05C70C3E" w:rsidR="00602F1C" w:rsidRPr="003E5B08" w:rsidRDefault="00602F1C" w:rsidP="00602F1C">
      <w:pPr>
        <w:rPr>
          <w:b/>
          <w:bCs/>
          <w:color w:val="002060"/>
        </w:rPr>
      </w:pPr>
      <w:r w:rsidRPr="00602F1C">
        <w:rPr>
          <w:b/>
          <w:bCs/>
          <w:color w:val="002060"/>
        </w:rPr>
        <w:t xml:space="preserve">4. </w:t>
      </w:r>
      <w:r w:rsidR="003E5B08">
        <w:rPr>
          <w:b/>
          <w:bCs/>
          <w:color w:val="002060"/>
        </w:rPr>
        <w:t xml:space="preserve">Recording: </w:t>
      </w:r>
      <w:r w:rsidRPr="003E5B08">
        <w:t>We recommend that such refusals are recorded separately to other eligibility refusals.</w:t>
      </w:r>
      <w:r w:rsidRPr="003E5B08">
        <w:rPr>
          <w:b/>
          <w:bCs/>
        </w:rPr>
        <w:t xml:space="preserve"> </w:t>
      </w:r>
      <w:r w:rsidRPr="003E5B08">
        <w:t>The H</w:t>
      </w:r>
      <w:r w:rsidRPr="00F614A4">
        <w:t>ome Office should make sure it is clear how many of the total eligibility refusals are based on the caseworker’s decision that the applicant has not demonstrated a ‘good reason’ for missing the deadline. These statistics will show how many individuals have applied late and how many are being refused due to their application being made after the deadline. This can inform policy changes to reduce the risk of large numbers of EEA</w:t>
      </w:r>
      <w:r>
        <w:t>+</w:t>
      </w:r>
      <w:r w:rsidRPr="00F614A4">
        <w:t xml:space="preserve"> nationals losing their right to be in the UK. </w:t>
      </w:r>
    </w:p>
    <w:p w14:paraId="258DE024" w14:textId="1F7D1416" w:rsidR="00E14F50" w:rsidRPr="003D0644" w:rsidRDefault="00E14F50" w:rsidP="003D0644">
      <w:pPr>
        <w:rPr>
          <w:b/>
          <w:bCs/>
        </w:rPr>
      </w:pPr>
    </w:p>
    <w:p w14:paraId="7F92FD02" w14:textId="77777777" w:rsidR="00E14F50" w:rsidRPr="00D80750" w:rsidRDefault="00E14F50" w:rsidP="002A4271">
      <w:pPr>
        <w:pStyle w:val="ListParagraph"/>
        <w:rPr>
          <w:lang w:eastAsia="en-GB"/>
        </w:rPr>
      </w:pPr>
    </w:p>
    <w:p w14:paraId="4D98BA91" w14:textId="77777777" w:rsidR="003D0644" w:rsidRDefault="003D0644" w:rsidP="002A4271">
      <w:pPr>
        <w:pStyle w:val="ListParagraph"/>
        <w:rPr>
          <w:lang w:eastAsia="en-GB"/>
        </w:rPr>
      </w:pPr>
    </w:p>
    <w:p w14:paraId="0C7FCC28" w14:textId="77777777" w:rsidR="003D0644" w:rsidRDefault="003D0644" w:rsidP="002A4271">
      <w:pPr>
        <w:pStyle w:val="ListParagraph"/>
        <w:rPr>
          <w:lang w:eastAsia="en-GB"/>
        </w:rPr>
      </w:pPr>
    </w:p>
    <w:p w14:paraId="13C704F5" w14:textId="77777777" w:rsidR="003D0644" w:rsidRDefault="003D0644" w:rsidP="002A4271">
      <w:pPr>
        <w:pStyle w:val="ListParagraph"/>
        <w:rPr>
          <w:lang w:eastAsia="en-GB"/>
        </w:rPr>
      </w:pPr>
    </w:p>
    <w:p w14:paraId="4183B7AF" w14:textId="77777777" w:rsidR="003D0644" w:rsidRDefault="003D0644" w:rsidP="002A4271">
      <w:pPr>
        <w:pStyle w:val="ListParagraph"/>
        <w:rPr>
          <w:lang w:eastAsia="en-GB"/>
        </w:rPr>
      </w:pPr>
    </w:p>
    <w:p w14:paraId="7ED9B0D4" w14:textId="77777777" w:rsidR="003D0644" w:rsidRDefault="003D0644" w:rsidP="002A4271">
      <w:pPr>
        <w:pStyle w:val="ListParagraph"/>
        <w:rPr>
          <w:lang w:eastAsia="en-GB"/>
        </w:rPr>
      </w:pPr>
    </w:p>
    <w:p w14:paraId="3F15FB3B" w14:textId="77777777" w:rsidR="003D0644" w:rsidRDefault="003D0644" w:rsidP="002A4271">
      <w:pPr>
        <w:pStyle w:val="ListParagraph"/>
        <w:rPr>
          <w:lang w:eastAsia="en-GB"/>
        </w:rPr>
      </w:pPr>
    </w:p>
    <w:p w14:paraId="2F8DF77C" w14:textId="77777777" w:rsidR="003D0644" w:rsidRDefault="003D0644" w:rsidP="002A4271">
      <w:pPr>
        <w:pStyle w:val="ListParagraph"/>
        <w:rPr>
          <w:lang w:eastAsia="en-GB"/>
        </w:rPr>
      </w:pPr>
    </w:p>
    <w:p w14:paraId="0B9DBF39" w14:textId="77777777" w:rsidR="003D0644" w:rsidRDefault="003D0644" w:rsidP="002A4271">
      <w:pPr>
        <w:pStyle w:val="ListParagraph"/>
        <w:rPr>
          <w:lang w:eastAsia="en-GB"/>
        </w:rPr>
      </w:pPr>
    </w:p>
    <w:p w14:paraId="2EA3DC55" w14:textId="77777777" w:rsidR="003D0644" w:rsidRDefault="003D0644" w:rsidP="002A4271">
      <w:pPr>
        <w:pStyle w:val="ListParagraph"/>
        <w:rPr>
          <w:lang w:eastAsia="en-GB"/>
        </w:rPr>
      </w:pPr>
    </w:p>
    <w:p w14:paraId="7C94D576" w14:textId="77777777" w:rsidR="003D0644" w:rsidRDefault="003D0644" w:rsidP="002A4271">
      <w:pPr>
        <w:pStyle w:val="ListParagraph"/>
        <w:rPr>
          <w:lang w:eastAsia="en-GB"/>
        </w:rPr>
      </w:pPr>
    </w:p>
    <w:p w14:paraId="1D3D7777" w14:textId="77777777" w:rsidR="003D0644" w:rsidRDefault="003D0644" w:rsidP="002A4271">
      <w:pPr>
        <w:pStyle w:val="ListParagraph"/>
        <w:rPr>
          <w:lang w:eastAsia="en-GB"/>
        </w:rPr>
      </w:pPr>
    </w:p>
    <w:p w14:paraId="1ECBAE90" w14:textId="77777777" w:rsidR="003D0644" w:rsidRDefault="003D0644" w:rsidP="002A4271">
      <w:pPr>
        <w:pStyle w:val="ListParagraph"/>
        <w:rPr>
          <w:lang w:eastAsia="en-GB"/>
        </w:rPr>
      </w:pPr>
    </w:p>
    <w:p w14:paraId="6F701EB0" w14:textId="77777777" w:rsidR="003D0644" w:rsidRDefault="003D0644" w:rsidP="002A4271">
      <w:pPr>
        <w:pStyle w:val="ListParagraph"/>
        <w:rPr>
          <w:lang w:eastAsia="en-GB"/>
        </w:rPr>
      </w:pPr>
    </w:p>
    <w:p w14:paraId="73A054EE" w14:textId="77777777" w:rsidR="003D0644" w:rsidRDefault="003D0644" w:rsidP="002A4271">
      <w:pPr>
        <w:pStyle w:val="ListParagraph"/>
        <w:rPr>
          <w:lang w:eastAsia="en-GB"/>
        </w:rPr>
      </w:pPr>
    </w:p>
    <w:p w14:paraId="08B698EB" w14:textId="77777777" w:rsidR="003D0644" w:rsidRDefault="003D0644" w:rsidP="002A4271">
      <w:pPr>
        <w:pStyle w:val="ListParagraph"/>
        <w:rPr>
          <w:lang w:eastAsia="en-GB"/>
        </w:rPr>
      </w:pPr>
    </w:p>
    <w:p w14:paraId="26C9C64A" w14:textId="77777777" w:rsidR="003D0644" w:rsidRDefault="003D0644" w:rsidP="002A4271">
      <w:pPr>
        <w:pStyle w:val="ListParagraph"/>
        <w:rPr>
          <w:lang w:eastAsia="en-GB"/>
        </w:rPr>
      </w:pPr>
    </w:p>
    <w:p w14:paraId="233831DC" w14:textId="77777777" w:rsidR="003D0644" w:rsidRDefault="003D0644" w:rsidP="002A4271">
      <w:pPr>
        <w:pStyle w:val="ListParagraph"/>
        <w:rPr>
          <w:lang w:eastAsia="en-GB"/>
        </w:rPr>
      </w:pPr>
    </w:p>
    <w:p w14:paraId="76913981" w14:textId="77777777" w:rsidR="003D0644" w:rsidRDefault="003D0644" w:rsidP="002A4271">
      <w:pPr>
        <w:pStyle w:val="ListParagraph"/>
        <w:rPr>
          <w:lang w:eastAsia="en-GB"/>
        </w:rPr>
      </w:pPr>
    </w:p>
    <w:p w14:paraId="18C35D22" w14:textId="77777777" w:rsidR="003D0644" w:rsidRDefault="003D0644" w:rsidP="002A4271">
      <w:pPr>
        <w:pStyle w:val="ListParagraph"/>
        <w:rPr>
          <w:lang w:eastAsia="en-GB"/>
        </w:rPr>
      </w:pPr>
    </w:p>
    <w:p w14:paraId="29084A31" w14:textId="77777777" w:rsidR="003D0644" w:rsidRDefault="003D0644" w:rsidP="002A4271">
      <w:pPr>
        <w:pStyle w:val="ListParagraph"/>
        <w:rPr>
          <w:lang w:eastAsia="en-GB"/>
        </w:rPr>
      </w:pPr>
    </w:p>
    <w:p w14:paraId="7B333FC6" w14:textId="77777777" w:rsidR="003D0644" w:rsidRDefault="003D0644" w:rsidP="002A4271">
      <w:pPr>
        <w:pStyle w:val="ListParagraph"/>
        <w:rPr>
          <w:lang w:eastAsia="en-GB"/>
        </w:rPr>
      </w:pPr>
    </w:p>
    <w:p w14:paraId="620D6F55" w14:textId="77777777" w:rsidR="003D0644" w:rsidRDefault="003D0644" w:rsidP="002A4271">
      <w:pPr>
        <w:pStyle w:val="ListParagraph"/>
        <w:rPr>
          <w:lang w:eastAsia="en-GB"/>
        </w:rPr>
      </w:pPr>
    </w:p>
    <w:p w14:paraId="7D27D09C" w14:textId="77777777" w:rsidR="003D0644" w:rsidRDefault="003D0644" w:rsidP="002A4271">
      <w:pPr>
        <w:pStyle w:val="ListParagraph"/>
        <w:rPr>
          <w:lang w:eastAsia="en-GB"/>
        </w:rPr>
      </w:pPr>
    </w:p>
    <w:p w14:paraId="34DF657D" w14:textId="77777777" w:rsidR="003D0644" w:rsidRDefault="003D0644" w:rsidP="002A4271">
      <w:pPr>
        <w:pStyle w:val="ListParagraph"/>
        <w:rPr>
          <w:lang w:eastAsia="en-GB"/>
        </w:rPr>
      </w:pPr>
    </w:p>
    <w:p w14:paraId="6E57BCF1" w14:textId="77777777" w:rsidR="003D0644" w:rsidRDefault="003D0644" w:rsidP="002A4271">
      <w:pPr>
        <w:pStyle w:val="ListParagraph"/>
        <w:rPr>
          <w:lang w:eastAsia="en-GB"/>
        </w:rPr>
      </w:pPr>
    </w:p>
    <w:p w14:paraId="70857F4F" w14:textId="77777777" w:rsidR="003D0644" w:rsidRDefault="003D0644" w:rsidP="002A4271">
      <w:pPr>
        <w:pStyle w:val="ListParagraph"/>
        <w:rPr>
          <w:lang w:eastAsia="en-GB"/>
        </w:rPr>
      </w:pPr>
    </w:p>
    <w:p w14:paraId="4A6A91CD" w14:textId="77777777" w:rsidR="003D0644" w:rsidRDefault="003D0644" w:rsidP="002A4271">
      <w:pPr>
        <w:pStyle w:val="ListParagraph"/>
        <w:rPr>
          <w:lang w:eastAsia="en-GB"/>
        </w:rPr>
      </w:pPr>
    </w:p>
    <w:p w14:paraId="227DFBA8" w14:textId="4C71F255" w:rsidR="00E14F50" w:rsidRPr="00D80750" w:rsidRDefault="00E14F50" w:rsidP="002A4271">
      <w:pPr>
        <w:pStyle w:val="ListParagraph"/>
        <w:rPr>
          <w:lang w:eastAsia="en-GB"/>
        </w:rPr>
      </w:pPr>
      <w:r w:rsidRPr="00D80750">
        <w:rPr>
          <w:lang w:eastAsia="en-GB"/>
        </w:rPr>
        <w:t xml:space="preserve">© </w:t>
      </w:r>
      <w:r w:rsidR="00C90AFC" w:rsidRPr="00D80750">
        <w:rPr>
          <w:lang w:eastAsia="en-GB"/>
        </w:rPr>
        <w:t xml:space="preserve">The Authors and the </w:t>
      </w:r>
      <w:r w:rsidRPr="00D80750">
        <w:rPr>
          <w:lang w:eastAsia="en-GB"/>
        </w:rPr>
        <w:t xml:space="preserve">EU Rights and Brexit Hub </w:t>
      </w:r>
      <w:hyperlink r:id="rId10" w:history="1">
        <w:r w:rsidRPr="00D80750">
          <w:rPr>
            <w:rStyle w:val="Hyperlink"/>
            <w:rFonts w:ascii="Calibri" w:eastAsia="Times New Roman" w:hAnsi="Calibri" w:cs="Calibri"/>
            <w:lang w:eastAsia="en-GB"/>
          </w:rPr>
          <w:t>https://www.eurightshub.york.ac.uk/</w:t>
        </w:r>
      </w:hyperlink>
      <w:r w:rsidRPr="00D80750">
        <w:rPr>
          <w:lang w:eastAsia="en-GB"/>
        </w:rPr>
        <w:t xml:space="preserve"> </w:t>
      </w:r>
    </w:p>
    <w:p w14:paraId="562C1A98" w14:textId="77777777" w:rsidR="00E14F50" w:rsidRPr="00D80750" w:rsidRDefault="00E14F50" w:rsidP="002A4271">
      <w:pPr>
        <w:pStyle w:val="ListParagraph"/>
        <w:rPr>
          <w:lang w:eastAsia="en-GB"/>
        </w:rPr>
      </w:pPr>
      <w:r w:rsidRPr="00D80750">
        <w:rPr>
          <w:lang w:eastAsia="en-GB"/>
        </w:rPr>
        <w:t>Twitter @EURightsHub</w:t>
      </w:r>
    </w:p>
    <w:p w14:paraId="75052CC1" w14:textId="77777777" w:rsidR="00E14F50" w:rsidRPr="00D80750" w:rsidRDefault="00E14F50" w:rsidP="002A4271">
      <w:pPr>
        <w:pStyle w:val="ListParagraph"/>
        <w:rPr>
          <w:rFonts w:ascii="Calibri" w:eastAsia="Times New Roman" w:hAnsi="Calibri" w:cs="Calibri"/>
          <w:lang w:eastAsia="en-GB"/>
        </w:rPr>
      </w:pPr>
      <w:r w:rsidRPr="00D80750">
        <w:rPr>
          <w:rFonts w:ascii="Calibri" w:eastAsia="Times New Roman" w:hAnsi="Calibri" w:cs="Calibri"/>
          <w:lang w:eastAsia="en-GB"/>
        </w:rPr>
        <w:t xml:space="preserve">Email enquiries to </w:t>
      </w:r>
      <w:hyperlink r:id="rId11" w:history="1">
        <w:r w:rsidRPr="00D80750">
          <w:rPr>
            <w:rStyle w:val="Hyperlink"/>
            <w:rFonts w:ascii="Calibri" w:eastAsia="Times New Roman" w:hAnsi="Calibri" w:cs="Calibri"/>
            <w:lang w:eastAsia="en-GB"/>
          </w:rPr>
          <w:t>law-eurightshub@york.ac.uk</w:t>
        </w:r>
      </w:hyperlink>
    </w:p>
    <w:p w14:paraId="1E8CCE6B" w14:textId="1AD7A84E" w:rsidR="00BB7F2A" w:rsidRPr="00D80750" w:rsidRDefault="00BB7F2A" w:rsidP="00EA465E">
      <w:r w:rsidRPr="00D80750">
        <w:tab/>
      </w:r>
    </w:p>
    <w:sectPr w:rsidR="00BB7F2A" w:rsidRPr="00D80750" w:rsidSect="00BB7F2A">
      <w:headerReference w:type="default" r:id="rId12"/>
      <w:footerReference w:type="default" r:id="rId13"/>
      <w:pgSz w:w="11906" w:h="16838"/>
      <w:pgMar w:top="2268" w:right="1440" w:bottom="1701"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278D" w14:textId="77777777" w:rsidR="009A4CFC" w:rsidRDefault="009A4CFC" w:rsidP="00EA465E">
      <w:r>
        <w:separator/>
      </w:r>
    </w:p>
  </w:endnote>
  <w:endnote w:type="continuationSeparator" w:id="0">
    <w:p w14:paraId="31AE0ECC" w14:textId="77777777" w:rsidR="009A4CFC" w:rsidRDefault="009A4CFC" w:rsidP="00EA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89160905"/>
      <w:docPartObj>
        <w:docPartGallery w:val="Page Numbers (Bottom of Page)"/>
        <w:docPartUnique/>
      </w:docPartObj>
    </w:sdtPr>
    <w:sdtEndPr>
      <w:rPr>
        <w:noProof/>
      </w:rPr>
    </w:sdtEndPr>
    <w:sdtContent>
      <w:p w14:paraId="3E1F513C" w14:textId="3467AC27" w:rsidR="00B010FC" w:rsidRPr="00C209EE" w:rsidRDefault="00047299" w:rsidP="00C209EE">
        <w:pPr>
          <w:pStyle w:val="Footer"/>
          <w:jc w:val="right"/>
          <w:rPr>
            <w:rFonts w:ascii="Arial" w:hAnsi="Arial" w:cs="Arial"/>
          </w:rPr>
        </w:pPr>
        <w:r>
          <w:rPr>
            <w:rFonts w:ascii="Arial" w:hAnsi="Arial" w:cs="Arial"/>
            <w:noProof/>
            <w:sz w:val="22"/>
            <w:szCs w:val="22"/>
          </w:rPr>
          <w:drawing>
            <wp:anchor distT="0" distB="0" distL="114300" distR="114300" simplePos="0" relativeHeight="251667456" behindDoc="1" locked="0" layoutInCell="1" allowOverlap="1" wp14:anchorId="08442146" wp14:editId="6807FB09">
              <wp:simplePos x="0" y="0"/>
              <wp:positionH relativeFrom="column">
                <wp:posOffset>-901827</wp:posOffset>
              </wp:positionH>
              <wp:positionV relativeFrom="paragraph">
                <wp:posOffset>-340360</wp:posOffset>
              </wp:positionV>
              <wp:extent cx="7606156" cy="719328"/>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7606156" cy="719328"/>
                      </a:xfrm>
                      <a:prstGeom prst="rect">
                        <a:avLst/>
                      </a:prstGeom>
                    </pic:spPr>
                  </pic:pic>
                </a:graphicData>
              </a:graphic>
              <wp14:sizeRelH relativeFrom="margin">
                <wp14:pctWidth>0</wp14:pctWidth>
              </wp14:sizeRelH>
              <wp14:sizeRelV relativeFrom="margin">
                <wp14:pctHeight>0</wp14:pctHeight>
              </wp14:sizeRelV>
            </wp:anchor>
          </w:drawing>
        </w:r>
        <w:r w:rsidR="00B010FC" w:rsidRPr="00C209EE">
          <w:rPr>
            <w:rFonts w:ascii="Arial" w:hAnsi="Arial" w:cs="Arial"/>
            <w:sz w:val="22"/>
            <w:szCs w:val="22"/>
          </w:rPr>
          <w:fldChar w:fldCharType="begin"/>
        </w:r>
        <w:r w:rsidR="00B010FC" w:rsidRPr="00C209EE">
          <w:rPr>
            <w:rFonts w:ascii="Arial" w:hAnsi="Arial" w:cs="Arial"/>
            <w:sz w:val="22"/>
            <w:szCs w:val="22"/>
          </w:rPr>
          <w:instrText xml:space="preserve"> PAGE   \* MERGEFORMAT </w:instrText>
        </w:r>
        <w:r w:rsidR="00B010FC" w:rsidRPr="00C209EE">
          <w:rPr>
            <w:rFonts w:ascii="Arial" w:hAnsi="Arial" w:cs="Arial"/>
            <w:sz w:val="22"/>
            <w:szCs w:val="22"/>
          </w:rPr>
          <w:fldChar w:fldCharType="separate"/>
        </w:r>
        <w:r w:rsidR="00CB31DB">
          <w:rPr>
            <w:rFonts w:ascii="Arial" w:hAnsi="Arial" w:cs="Arial"/>
            <w:noProof/>
            <w:sz w:val="22"/>
            <w:szCs w:val="22"/>
          </w:rPr>
          <w:t>3</w:t>
        </w:r>
        <w:r w:rsidR="00B010FC" w:rsidRPr="00C209EE">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357D" w14:textId="77777777" w:rsidR="009A4CFC" w:rsidRDefault="009A4CFC" w:rsidP="00EA465E">
      <w:r>
        <w:separator/>
      </w:r>
    </w:p>
  </w:footnote>
  <w:footnote w:type="continuationSeparator" w:id="0">
    <w:p w14:paraId="3272E7A4" w14:textId="77777777" w:rsidR="009A4CFC" w:rsidRDefault="009A4CFC" w:rsidP="00EA465E">
      <w:r>
        <w:continuationSeparator/>
      </w:r>
    </w:p>
  </w:footnote>
  <w:footnote w:id="1">
    <w:p w14:paraId="57C130B9" w14:textId="77777777" w:rsidR="00493E18" w:rsidRDefault="00493E18" w:rsidP="00493E18">
      <w:pPr>
        <w:pStyle w:val="FootnoteText"/>
      </w:pPr>
      <w:r>
        <w:rPr>
          <w:rStyle w:val="FootnoteReference"/>
        </w:rPr>
        <w:footnoteRef/>
      </w:r>
      <w:r>
        <w:t xml:space="preserve"> </w:t>
      </w:r>
      <w:r w:rsidRPr="00191C9F">
        <w:t>Sajid Javid, Secretary of State for the Home Department, letter to Baroness Kennedy, Chairman of EU Justice Sub-Committee, 17 April 2019, p. 2</w:t>
      </w:r>
      <w:r>
        <w:t>.</w:t>
      </w:r>
    </w:p>
  </w:footnote>
  <w:footnote w:id="2">
    <w:p w14:paraId="54EC3A53" w14:textId="77777777" w:rsidR="007B00DC" w:rsidRPr="003110C4" w:rsidRDefault="007B00DC" w:rsidP="007B00DC">
      <w:pPr>
        <w:pStyle w:val="FootnoteText"/>
      </w:pPr>
      <w:r w:rsidRPr="003110C4">
        <w:rPr>
          <w:rStyle w:val="FootnoteReference"/>
        </w:rPr>
        <w:footnoteRef/>
      </w:r>
      <w:r w:rsidRPr="003110C4">
        <w:t xml:space="preserve"> ‘EEA+’ is used in this briefing to mean the EU and EEA nationals and their family members who are eligible to apply to the EU Settlement Scheme.</w:t>
      </w:r>
    </w:p>
  </w:footnote>
  <w:footnote w:id="3">
    <w:p w14:paraId="29770465" w14:textId="48B7F41D" w:rsidR="00493E18" w:rsidRDefault="00493E18" w:rsidP="00493E18">
      <w:pPr>
        <w:pStyle w:val="FootnoteText"/>
      </w:pPr>
      <w:r>
        <w:rPr>
          <w:rStyle w:val="FootnoteReference"/>
        </w:rPr>
        <w:footnoteRef/>
      </w:r>
      <w:r>
        <w:t xml:space="preserve"> Home Office, Guidance, </w:t>
      </w:r>
      <w:hyperlink r:id="rId1" w:history="1">
        <w:r w:rsidRPr="00602F1C">
          <w:rPr>
            <w:rStyle w:val="Hyperlink"/>
            <w:i/>
            <w:iCs/>
          </w:rPr>
          <w:t>EU Settlement Scheme: EU, other EEA and Swiss citizens and their family members</w:t>
        </w:r>
      </w:hyperlink>
      <w:r>
        <w:t>, updated 1 April 2021</w:t>
      </w:r>
      <w:r w:rsidR="007B00DC">
        <w:t>.</w:t>
      </w:r>
      <w:r>
        <w:t xml:space="preserve"> </w:t>
      </w:r>
    </w:p>
  </w:footnote>
  <w:footnote w:id="4">
    <w:p w14:paraId="55F072B4" w14:textId="60F8ED64" w:rsidR="00493E18" w:rsidRDefault="00493E18" w:rsidP="00493E18">
      <w:pPr>
        <w:pStyle w:val="FootnoteText"/>
      </w:pPr>
      <w:r>
        <w:rPr>
          <w:rStyle w:val="FootnoteReference"/>
        </w:rPr>
        <w:footnoteRef/>
      </w:r>
      <w:r>
        <w:t xml:space="preserve"> </w:t>
      </w:r>
      <w:r w:rsidRPr="00191C9F">
        <w:t>BBC</w:t>
      </w:r>
      <w:r w:rsidR="007B00DC">
        <w:t xml:space="preserve"> </w:t>
      </w:r>
      <w:r w:rsidRPr="00191C9F">
        <w:t>News</w:t>
      </w:r>
      <w:r w:rsidR="00602F1C">
        <w:t>. “</w:t>
      </w:r>
      <w:r w:rsidRPr="00191C9F">
        <w:t>Brexit:</w:t>
      </w:r>
      <w:r w:rsidR="00602F1C">
        <w:t xml:space="preserve"> </w:t>
      </w:r>
      <w:r w:rsidRPr="00191C9F">
        <w:t>EU</w:t>
      </w:r>
      <w:r w:rsidR="00602F1C">
        <w:t xml:space="preserve"> </w:t>
      </w:r>
      <w:r w:rsidRPr="00191C9F">
        <w:t>citizens</w:t>
      </w:r>
      <w:r w:rsidR="00602F1C">
        <w:t xml:space="preserve"> </w:t>
      </w:r>
      <w:r w:rsidRPr="00191C9F">
        <w:t>who</w:t>
      </w:r>
      <w:r w:rsidR="00602F1C">
        <w:t xml:space="preserve"> </w:t>
      </w:r>
      <w:r w:rsidRPr="00191C9F">
        <w:t>miss</w:t>
      </w:r>
      <w:r w:rsidR="00602F1C">
        <w:t xml:space="preserve"> </w:t>
      </w:r>
      <w:r w:rsidRPr="00191C9F">
        <w:t>registration</w:t>
      </w:r>
      <w:r w:rsidR="00602F1C">
        <w:t xml:space="preserve"> </w:t>
      </w:r>
      <w:r w:rsidRPr="00191C9F">
        <w:t>deadline</w:t>
      </w:r>
      <w:r w:rsidR="00602F1C">
        <w:t xml:space="preserve"> </w:t>
      </w:r>
      <w:r w:rsidRPr="00191C9F">
        <w:t>face</w:t>
      </w:r>
      <w:r w:rsidR="00602F1C">
        <w:t xml:space="preserve"> </w:t>
      </w:r>
      <w:r w:rsidRPr="00191C9F">
        <w:t>deportation– minister, 10 Oct. 2019,</w:t>
      </w:r>
      <w:r w:rsidR="00602F1C">
        <w:t>”</w:t>
      </w:r>
      <w:r w:rsidRPr="00191C9F">
        <w:t xml:space="preserve"> quoting Home Office Minister Brandon Lewis </w:t>
      </w:r>
      <w:r w:rsidR="007E4CE8">
        <w:t>in</w:t>
      </w:r>
      <w:r w:rsidRPr="00191C9F">
        <w:t xml:space="preserve"> Bolzen, “</w:t>
      </w:r>
      <w:hyperlink r:id="rId2" w:history="1">
        <w:r w:rsidRPr="007E4CE8">
          <w:rPr>
            <w:rStyle w:val="Hyperlink"/>
          </w:rPr>
          <w:t>Nach dem Brexit droht nicht registrierten Deutschen die Abschiebung</w:t>
        </w:r>
      </w:hyperlink>
      <w:r w:rsidRPr="00191C9F">
        <w:t xml:space="preserve">”, </w:t>
      </w:r>
      <w:r w:rsidRPr="00191C9F">
        <w:rPr>
          <w:i/>
          <w:iCs/>
        </w:rPr>
        <w:t>Die Welt</w:t>
      </w:r>
      <w:r w:rsidRPr="00191C9F">
        <w:t>, 10 Oct. 2019</w:t>
      </w:r>
      <w:r w:rsidR="007E4CE8">
        <w:t>.</w:t>
      </w:r>
      <w:r w:rsidRPr="00191C9F">
        <w:t xml:space="preserve"> </w:t>
      </w:r>
    </w:p>
  </w:footnote>
  <w:footnote w:id="5">
    <w:p w14:paraId="046D3F55" w14:textId="501C4D35" w:rsidR="00493E18" w:rsidRDefault="00493E18" w:rsidP="00493E18">
      <w:pPr>
        <w:pStyle w:val="FootnoteText"/>
      </w:pPr>
      <w:r>
        <w:rPr>
          <w:rStyle w:val="FootnoteReference"/>
        </w:rPr>
        <w:footnoteRef/>
      </w:r>
      <w:r>
        <w:t xml:space="preserve"> Boswell &amp; Patel, Joint Council for the Welfare of Immigrants, </w:t>
      </w:r>
      <w:hyperlink r:id="rId3" w:history="1">
        <w:r w:rsidRPr="007E4CE8">
          <w:rPr>
            <w:rStyle w:val="Hyperlink"/>
            <w:i/>
            <w:iCs/>
          </w:rPr>
          <w:t>When the clapping stops: EU Care Workers after Brexit</w:t>
        </w:r>
      </w:hyperlink>
      <w:r w:rsidRPr="00191C9F">
        <w:t>, January 2021</w:t>
      </w:r>
      <w:r w:rsidR="007E4CE8">
        <w:t>.</w:t>
      </w:r>
    </w:p>
  </w:footnote>
  <w:footnote w:id="6">
    <w:p w14:paraId="6E234E7B" w14:textId="19F6F3A2" w:rsidR="00493E18" w:rsidRPr="00701E9A" w:rsidRDefault="00493E18" w:rsidP="00493E18">
      <w:pPr>
        <w:pStyle w:val="FootnoteText"/>
      </w:pPr>
      <w:r>
        <w:rPr>
          <w:rStyle w:val="FootnoteReference"/>
        </w:rPr>
        <w:footnoteRef/>
      </w:r>
      <w:r>
        <w:t xml:space="preserve"> </w:t>
      </w:r>
      <w:r w:rsidRPr="00701E9A">
        <w:t>Thomas</w:t>
      </w:r>
      <w:r w:rsidR="007E4CE8">
        <w:t>.</w:t>
      </w:r>
      <w:r w:rsidR="007E4CE8" w:rsidRPr="007E4CE8">
        <w:t xml:space="preserve"> </w:t>
      </w:r>
      <w:hyperlink r:id="rId4" w:history="1">
        <w:r w:rsidRPr="007E4CE8">
          <w:rPr>
            <w:rStyle w:val="Hyperlink"/>
          </w:rPr>
          <w:t>Best</w:t>
        </w:r>
        <w:r w:rsidR="007E4CE8" w:rsidRPr="007E4CE8">
          <w:rPr>
            <w:rStyle w:val="Hyperlink"/>
            <w:i/>
            <w:iCs/>
          </w:rPr>
          <w:t xml:space="preserve"> </w:t>
        </w:r>
        <w:r w:rsidRPr="007E4CE8">
          <w:rPr>
            <w:rStyle w:val="Hyperlink"/>
            <w:i/>
            <w:iCs/>
          </w:rPr>
          <w:t>intentions:</w:t>
        </w:r>
        <w:r w:rsidR="007E4CE8" w:rsidRPr="007E4CE8">
          <w:rPr>
            <w:rStyle w:val="Hyperlink"/>
            <w:i/>
            <w:iCs/>
          </w:rPr>
          <w:t xml:space="preserve"> </w:t>
        </w:r>
        <w:r w:rsidRPr="007E4CE8">
          <w:rPr>
            <w:rStyle w:val="Hyperlink"/>
            <w:i/>
            <w:iCs/>
          </w:rPr>
          <w:t>EU</w:t>
        </w:r>
        <w:r w:rsidR="007E4CE8" w:rsidRPr="007E4CE8">
          <w:rPr>
            <w:rStyle w:val="Hyperlink"/>
            <w:i/>
            <w:iCs/>
          </w:rPr>
          <w:t xml:space="preserve"> </w:t>
        </w:r>
        <w:r w:rsidRPr="007E4CE8">
          <w:rPr>
            <w:rStyle w:val="Hyperlink"/>
            <w:i/>
            <w:iCs/>
          </w:rPr>
          <w:t>migrant</w:t>
        </w:r>
        <w:r w:rsidR="007E4CE8" w:rsidRPr="007E4CE8">
          <w:rPr>
            <w:rStyle w:val="Hyperlink"/>
            <w:i/>
            <w:iCs/>
          </w:rPr>
          <w:t xml:space="preserve"> </w:t>
        </w:r>
        <w:r w:rsidRPr="007E4CE8">
          <w:rPr>
            <w:rStyle w:val="Hyperlink"/>
            <w:i/>
            <w:iCs/>
          </w:rPr>
          <w:t>workers</w:t>
        </w:r>
        <w:r w:rsidR="007E4CE8" w:rsidRPr="007E4CE8">
          <w:rPr>
            <w:rStyle w:val="Hyperlink"/>
            <w:i/>
            <w:iCs/>
          </w:rPr>
          <w:t xml:space="preserve"> </w:t>
        </w:r>
        <w:r w:rsidRPr="007E4CE8">
          <w:rPr>
            <w:rStyle w:val="Hyperlink"/>
            <w:i/>
            <w:iCs/>
          </w:rPr>
          <w:t>in</w:t>
        </w:r>
        <w:r w:rsidR="007E4CE8" w:rsidRPr="007E4CE8">
          <w:rPr>
            <w:rStyle w:val="Hyperlink"/>
            <w:i/>
            <w:iCs/>
          </w:rPr>
          <w:t xml:space="preserve"> </w:t>
        </w:r>
        <w:r w:rsidRPr="007E4CE8">
          <w:rPr>
            <w:rStyle w:val="Hyperlink"/>
            <w:i/>
            <w:iCs/>
          </w:rPr>
          <w:t>Fenland;</w:t>
        </w:r>
        <w:r w:rsidR="007E4CE8" w:rsidRPr="007E4CE8">
          <w:rPr>
            <w:rStyle w:val="Hyperlink"/>
            <w:i/>
            <w:iCs/>
          </w:rPr>
          <w:t xml:space="preserve"> </w:t>
        </w:r>
        <w:r w:rsidRPr="007E4CE8">
          <w:rPr>
            <w:rStyle w:val="Hyperlink"/>
            <w:i/>
            <w:iCs/>
          </w:rPr>
          <w:t>A</w:t>
        </w:r>
        <w:r w:rsidR="007E4CE8" w:rsidRPr="007E4CE8">
          <w:rPr>
            <w:rStyle w:val="Hyperlink"/>
            <w:i/>
            <w:iCs/>
          </w:rPr>
          <w:t xml:space="preserve"> </w:t>
        </w:r>
        <w:r w:rsidRPr="007E4CE8">
          <w:rPr>
            <w:rStyle w:val="Hyperlink"/>
            <w:i/>
            <w:iCs/>
          </w:rPr>
          <w:t>Survey</w:t>
        </w:r>
      </w:hyperlink>
      <w:r w:rsidR="007E4CE8">
        <w:t>.</w:t>
      </w:r>
      <w:r w:rsidR="007E4CE8">
        <w:rPr>
          <w:i/>
          <w:iCs/>
        </w:rPr>
        <w:t xml:space="preserve"> </w:t>
      </w:r>
      <w:r w:rsidRPr="00701E9A">
        <w:t>The</w:t>
      </w:r>
      <w:r w:rsidR="007E4CE8">
        <w:t xml:space="preserve"> </w:t>
      </w:r>
      <w:r w:rsidRPr="00701E9A">
        <w:t>Social</w:t>
      </w:r>
      <w:r w:rsidR="007E4CE8">
        <w:t xml:space="preserve"> </w:t>
      </w:r>
      <w:r w:rsidRPr="00701E9A">
        <w:t>Market Foundation, Sept. 2020</w:t>
      </w:r>
      <w:r w:rsidR="007E4CE8">
        <w:t>.</w:t>
      </w:r>
      <w:r w:rsidRPr="00701E9A">
        <w:t xml:space="preserve"> </w:t>
      </w:r>
    </w:p>
    <w:p w14:paraId="5B86C423" w14:textId="77777777" w:rsidR="00493E18" w:rsidRDefault="00493E18" w:rsidP="00493E18">
      <w:pPr>
        <w:pStyle w:val="FootnoteText"/>
      </w:pPr>
    </w:p>
  </w:footnote>
  <w:footnote w:id="7">
    <w:p w14:paraId="40F87463" w14:textId="730266F4" w:rsidR="00493E18" w:rsidRDefault="00493E18" w:rsidP="00493E18">
      <w:pPr>
        <w:pStyle w:val="FootnoteText"/>
      </w:pPr>
      <w:r>
        <w:rPr>
          <w:rStyle w:val="FootnoteReference"/>
        </w:rPr>
        <w:footnoteRef/>
      </w:r>
      <w:r>
        <w:t xml:space="preserve"> Home Office, </w:t>
      </w:r>
      <w:hyperlink r:id="rId5" w:history="1">
        <w:r w:rsidRPr="007E4CE8">
          <w:rPr>
            <w:rStyle w:val="Hyperlink"/>
          </w:rPr>
          <w:t>Guidance, List of Organisations</w:t>
        </w:r>
      </w:hyperlink>
      <w:r>
        <w:t>, Updated 2 March 2021</w:t>
      </w:r>
    </w:p>
  </w:footnote>
  <w:footnote w:id="8">
    <w:p w14:paraId="1695C0A0" w14:textId="7C79EFB3" w:rsidR="00493E18" w:rsidRDefault="00493E18" w:rsidP="00493E18">
      <w:pPr>
        <w:pStyle w:val="FootnoteText"/>
      </w:pPr>
      <w:r>
        <w:rPr>
          <w:rStyle w:val="FootnoteReference"/>
        </w:rPr>
        <w:footnoteRef/>
      </w:r>
      <w:r>
        <w:t xml:space="preserve"> Department for Work and Pensions, </w:t>
      </w:r>
      <w:hyperlink r:id="rId6" w:anchor="european-union-settlement-scheme" w:history="1">
        <w:r w:rsidRPr="007E4CE8">
          <w:rPr>
            <w:rStyle w:val="Hyperlink"/>
          </w:rPr>
          <w:t>LA Welfare Direct, 3/2021</w:t>
        </w:r>
      </w:hyperlink>
      <w:r>
        <w:t>, Updated 11 March 2021, para 85</w:t>
      </w:r>
      <w:r w:rsidR="007E4CE8">
        <w:t>.</w:t>
      </w:r>
    </w:p>
  </w:footnote>
  <w:footnote w:id="9">
    <w:p w14:paraId="0A0B789E" w14:textId="7CABA272" w:rsidR="00493E18" w:rsidRPr="007E4CE8" w:rsidRDefault="00493E18" w:rsidP="00493E18">
      <w:pPr>
        <w:pStyle w:val="FootnoteText"/>
        <w:rPr>
          <w:rStyle w:val="Hyperlink"/>
        </w:rPr>
      </w:pPr>
      <w:r>
        <w:rPr>
          <w:rStyle w:val="FootnoteReference"/>
        </w:rPr>
        <w:footnoteRef/>
      </w:r>
      <w:r>
        <w:t xml:space="preserve"> </w:t>
      </w:r>
      <w:r w:rsidRPr="00701E9A">
        <w:t xml:space="preserve">Sumption and Fernández-Reino </w:t>
      </w:r>
      <w:r w:rsidR="007E4CE8">
        <w:fldChar w:fldCharType="begin"/>
      </w:r>
      <w:r w:rsidR="00755958">
        <w:instrText>HYPERLINK "C:\\Users\\johne\\York-Drive\\EEA Project\\Impact\\Reports\\Law School\\migrationobservatory.ox.ac.uk\\wp-content\\uploads\\2020\\09\\Report-Unse ttled-Status-2020.pdf"</w:instrText>
      </w:r>
      <w:r w:rsidR="007E4CE8">
        <w:fldChar w:fldCharType="separate"/>
      </w:r>
      <w:r w:rsidRPr="007E4CE8">
        <w:rPr>
          <w:rStyle w:val="Hyperlink"/>
        </w:rPr>
        <w:t xml:space="preserve">Unsettled Status – 2020: Which EU Citizens are at </w:t>
      </w:r>
    </w:p>
    <w:p w14:paraId="16751AC7" w14:textId="77777777" w:rsidR="007E4CE8" w:rsidRDefault="00493E18" w:rsidP="00493E18">
      <w:pPr>
        <w:pStyle w:val="FootnoteText"/>
      </w:pPr>
      <w:r w:rsidRPr="007E4CE8">
        <w:rPr>
          <w:rStyle w:val="Hyperlink"/>
        </w:rPr>
        <w:t>risk of failing to secure their rights after Brexit?</w:t>
      </w:r>
      <w:r w:rsidR="007E4CE8">
        <w:fldChar w:fldCharType="end"/>
      </w:r>
      <w:r w:rsidRPr="00701E9A">
        <w:t xml:space="preserve"> The Migration Observatory, Report 24 Sept. </w:t>
      </w:r>
      <w:proofErr w:type="gramStart"/>
      <w:r w:rsidRPr="00701E9A">
        <w:t>2020;</w:t>
      </w:r>
      <w:proofErr w:type="gramEnd"/>
    </w:p>
    <w:p w14:paraId="751F0B9A" w14:textId="4D5A6ADE" w:rsidR="00493E18" w:rsidRPr="00701E9A" w:rsidRDefault="00493E18" w:rsidP="00493E18">
      <w:pPr>
        <w:pStyle w:val="FootnoteText"/>
      </w:pPr>
      <w:r w:rsidRPr="00701E9A">
        <w:t xml:space="preserve">Sumption and Kone, </w:t>
      </w:r>
      <w:hyperlink r:id="rId7" w:history="1">
        <w:r w:rsidRPr="007E4CE8">
          <w:rPr>
            <w:rStyle w:val="Hyperlink"/>
          </w:rPr>
          <w:t>Unsettled status? Which EU citizens are at risk of failing to secure their rights after Brexit?</w:t>
        </w:r>
      </w:hyperlink>
      <w:r w:rsidRPr="00701E9A">
        <w:t xml:space="preserve">”, The Migration Observatory, Report 12 April 2018 </w:t>
      </w:r>
    </w:p>
    <w:p w14:paraId="430D1AB7" w14:textId="77777777" w:rsidR="00493E18" w:rsidRDefault="00493E18" w:rsidP="00493E18">
      <w:pPr>
        <w:pStyle w:val="FootnoteText"/>
      </w:pPr>
    </w:p>
  </w:footnote>
  <w:footnote w:id="10">
    <w:p w14:paraId="046D3E07" w14:textId="4E923AF4" w:rsidR="00383C2C" w:rsidRPr="00E97181" w:rsidRDefault="00383C2C" w:rsidP="00383C2C">
      <w:pPr>
        <w:pStyle w:val="FootnoteText"/>
        <w:rPr>
          <w:lang w:val="en-US"/>
        </w:rPr>
      </w:pPr>
      <w:r>
        <w:rPr>
          <w:rStyle w:val="FootnoteReference"/>
        </w:rPr>
        <w:footnoteRef/>
      </w:r>
      <w:r>
        <w:t xml:space="preserve"> </w:t>
      </w:r>
      <w:r>
        <w:rPr>
          <w:lang w:val="en-US"/>
        </w:rPr>
        <w:t>Bulgaria; Croatia; Cyprus; Czech Republic; Germany; Greece; Ireland; Italy; Lithuania; Poland; Portugal; Slovakia; and Spain</w:t>
      </w:r>
      <w:r>
        <w:t xml:space="preserve"> do not require UK nationals covered by the Withdrawal Agreement to register for a new status, and so have no deadline imposed</w:t>
      </w:r>
      <w:r w:rsidR="007E4CE8">
        <w:t xml:space="preserve"> – </w:t>
      </w:r>
      <w:hyperlink r:id="rId8" w:history="1">
        <w:r w:rsidR="007E4CE8" w:rsidRPr="007E4CE8">
          <w:rPr>
            <w:rStyle w:val="Hyperlink"/>
          </w:rPr>
          <w:t>Europa.eu</w:t>
        </w:r>
      </w:hyperlink>
      <w:r>
        <w:t xml:space="preserve"> </w:t>
      </w:r>
    </w:p>
  </w:footnote>
  <w:footnote w:id="11">
    <w:p w14:paraId="6DF15454" w14:textId="1A42505B" w:rsidR="00383C2C" w:rsidRPr="00EF0D00" w:rsidRDefault="00383C2C" w:rsidP="00383C2C">
      <w:pPr>
        <w:pStyle w:val="FootnoteText"/>
      </w:pPr>
      <w:r>
        <w:rPr>
          <w:rStyle w:val="FootnoteReference"/>
        </w:rPr>
        <w:footnoteRef/>
      </w:r>
      <w:r>
        <w:t xml:space="preserve"> Evidence of Sajid Javid, </w:t>
      </w:r>
      <w:r w:rsidRPr="00EF0D00">
        <w:t xml:space="preserve">Home Affairs Committee </w:t>
      </w:r>
      <w:hyperlink r:id="rId9" w:history="1">
        <w:r w:rsidRPr="007E4CE8">
          <w:rPr>
            <w:rStyle w:val="Hyperlink"/>
          </w:rPr>
          <w:t>Oral evidence: The work of the Home Secretary</w:t>
        </w:r>
      </w:hyperlink>
      <w:r w:rsidRPr="00EF0D00">
        <w:t>, HC 434 Wednesday 27 February 2019</w:t>
      </w:r>
      <w:r>
        <w:t>, 759; 768</w:t>
      </w:r>
    </w:p>
    <w:p w14:paraId="5E3D06C9" w14:textId="77777777" w:rsidR="00383C2C" w:rsidRPr="00B25DD5" w:rsidRDefault="00383C2C" w:rsidP="00383C2C">
      <w:pPr>
        <w:pStyle w:val="FootnoteText"/>
        <w:rPr>
          <w:lang w:val="en-US"/>
        </w:rPr>
      </w:pPr>
    </w:p>
  </w:footnote>
  <w:footnote w:id="12">
    <w:p w14:paraId="5BFEE2F6" w14:textId="17D5F360" w:rsidR="00A27F2A" w:rsidRDefault="00A27F2A" w:rsidP="00A27F2A">
      <w:pPr>
        <w:pStyle w:val="FootnoteText"/>
      </w:pPr>
      <w:r>
        <w:rPr>
          <w:rStyle w:val="FootnoteReference"/>
        </w:rPr>
        <w:footnoteRef/>
      </w:r>
      <w:r>
        <w:t xml:space="preserve"> See EU Rights &amp; Brexit Hub Briefing</w:t>
      </w:r>
      <w:r w:rsidR="007E4CE8">
        <w:t xml:space="preserve">, </w:t>
      </w:r>
      <w:hyperlink r:id="rId10" w:history="1">
        <w:r w:rsidRPr="007E4CE8">
          <w:rPr>
            <w:rStyle w:val="Hyperlink"/>
          </w:rPr>
          <w:t>EU Settlement Scheme: Barriers to Accessing Public Services for Vulnerable Adults</w:t>
        </w:r>
      </w:hyperlink>
      <w:r w:rsidRPr="007E4CE8">
        <w:t>,</w:t>
      </w:r>
      <w:r>
        <w:t xml:space="preserve"> March 2021</w:t>
      </w:r>
      <w:r w:rsidR="007E4CE8">
        <w:t>.</w:t>
      </w:r>
    </w:p>
  </w:footnote>
  <w:footnote w:id="13">
    <w:p w14:paraId="669A0DC7" w14:textId="4D01B17D" w:rsidR="001E6AD1" w:rsidRPr="00F340F5" w:rsidRDefault="001E6AD1" w:rsidP="001E6AD1">
      <w:pPr>
        <w:pStyle w:val="FootnoteText"/>
        <w:rPr>
          <w:b/>
          <w:bCs/>
        </w:rPr>
      </w:pPr>
      <w:r>
        <w:rPr>
          <w:rStyle w:val="FootnoteReference"/>
        </w:rPr>
        <w:footnoteRef/>
      </w:r>
      <w:r>
        <w:t xml:space="preserve"> Home Office, </w:t>
      </w:r>
      <w:r w:rsidRPr="00F340F5">
        <w:t>Guidance</w:t>
      </w:r>
      <w:r>
        <w:t xml:space="preserve">, </w:t>
      </w:r>
      <w:hyperlink r:id="rId11" w:history="1">
        <w:r w:rsidRPr="00AE30BF">
          <w:rPr>
            <w:rStyle w:val="Hyperlink"/>
          </w:rPr>
          <w:t>EU Settlement Scheme: current estimated processing times for applications</w:t>
        </w:r>
      </w:hyperlink>
      <w:r>
        <w:rPr>
          <w:i/>
          <w:iCs/>
        </w:rPr>
        <w:t>,</w:t>
      </w:r>
    </w:p>
    <w:p w14:paraId="3F0F7DA2" w14:textId="701021EE" w:rsidR="001E6AD1" w:rsidRDefault="001E6AD1" w:rsidP="001E6AD1">
      <w:pPr>
        <w:pStyle w:val="FootnoteText"/>
      </w:pPr>
      <w:r w:rsidRPr="00F340F5">
        <w:t>Updated 22 May 2020</w:t>
      </w:r>
      <w:r>
        <w:t>.</w:t>
      </w:r>
    </w:p>
  </w:footnote>
  <w:footnote w:id="14">
    <w:p w14:paraId="505390BC" w14:textId="77777777" w:rsidR="001E6AD1" w:rsidRDefault="001E6AD1" w:rsidP="001E6AD1">
      <w:pPr>
        <w:pStyle w:val="FootnoteText"/>
      </w:pPr>
      <w:r>
        <w:rPr>
          <w:rStyle w:val="FootnoteReference"/>
        </w:rPr>
        <w:footnoteRef/>
      </w:r>
      <w:r>
        <w:t xml:space="preserve">  Data collected by Freedom of Information requestion to the Home Office ‘</w:t>
      </w:r>
      <w:r w:rsidRPr="00B67009">
        <w:t>FOI Reference: 62254</w:t>
      </w:r>
      <w:r>
        <w:t xml:space="preserve">’ 22 Februrary 2021. Freedom of Information Request made as part of the ESRC funded project: </w:t>
      </w:r>
      <w:r w:rsidRPr="002C5E30">
        <w:t>Algorythmic Politics and Administrative Justice in the EU Settlement Scheme (EUSS)</w:t>
      </w:r>
      <w:r>
        <w:t xml:space="preserve"> based at the University of Exeter</w:t>
      </w:r>
      <w:r w:rsidRPr="002C5E30">
        <w:t>.</w:t>
      </w:r>
    </w:p>
  </w:footnote>
  <w:footnote w:id="15">
    <w:p w14:paraId="30E450D1" w14:textId="35BBEAA7" w:rsidR="001E6AD1" w:rsidRDefault="001E6AD1" w:rsidP="001E6AD1">
      <w:pPr>
        <w:pStyle w:val="FootnoteText"/>
      </w:pPr>
      <w:r>
        <w:rPr>
          <w:rStyle w:val="FootnoteReference"/>
        </w:rPr>
        <w:footnoteRef/>
      </w:r>
      <w:r>
        <w:t xml:space="preserve"> </w:t>
      </w:r>
      <w:r w:rsidRPr="00F340F5">
        <w:t xml:space="preserve">Bolt, Independent Chief Inspector of Borders and Immigration, </w:t>
      </w:r>
      <w:hyperlink r:id="rId12" w:history="1">
        <w:r w:rsidRPr="00AE30BF">
          <w:rPr>
            <w:rStyle w:val="Hyperlink"/>
          </w:rPr>
          <w:t>An inspection of Administrative Reviews (April–August 2019</w:t>
        </w:r>
      </w:hyperlink>
      <w:r w:rsidRPr="00F340F5">
        <w:t xml:space="preserve">, </w:t>
      </w:r>
      <w:r>
        <w:t>February</w:t>
      </w:r>
      <w:r w:rsidRPr="00F340F5">
        <w:t xml:space="preserve"> 2020</w:t>
      </w:r>
      <w:r w:rsidR="00AE30BF">
        <w:t>.</w:t>
      </w:r>
      <w:r>
        <w:t xml:space="preserve"> 6.34.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595" w14:textId="1EED5503" w:rsidR="00B010FC" w:rsidRDefault="00400434" w:rsidP="00EA465E">
    <w:pPr>
      <w:pStyle w:val="Header"/>
    </w:pPr>
    <w:r>
      <w:rPr>
        <w:noProof/>
      </w:rPr>
      <mc:AlternateContent>
        <mc:Choice Requires="wps">
          <w:drawing>
            <wp:anchor distT="0" distB="0" distL="114300" distR="114300" simplePos="0" relativeHeight="251657215" behindDoc="0" locked="0" layoutInCell="1" allowOverlap="1" wp14:anchorId="5F19AD6D" wp14:editId="75FADADC">
              <wp:simplePos x="0" y="0"/>
              <wp:positionH relativeFrom="page">
                <wp:posOffset>13335</wp:posOffset>
              </wp:positionH>
              <wp:positionV relativeFrom="paragraph">
                <wp:posOffset>-444279</wp:posOffset>
              </wp:positionV>
              <wp:extent cx="7534275" cy="1231265"/>
              <wp:effectExtent l="0" t="0" r="28575" b="26035"/>
              <wp:wrapNone/>
              <wp:docPr id="23" name="Rectangle 23"/>
              <wp:cNvGraphicFramePr/>
              <a:graphic xmlns:a="http://schemas.openxmlformats.org/drawingml/2006/main">
                <a:graphicData uri="http://schemas.microsoft.com/office/word/2010/wordprocessingShape">
                  <wps:wsp>
                    <wps:cNvSpPr/>
                    <wps:spPr>
                      <a:xfrm>
                        <a:off x="0" y="0"/>
                        <a:ext cx="7534275" cy="1231265"/>
                      </a:xfrm>
                      <a:prstGeom prst="rect">
                        <a:avLst/>
                      </a:prstGeom>
                      <a:solidFill>
                        <a:srgbClr val="00004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48AB1" id="Rectangle 23" o:spid="_x0000_s1026" style="position:absolute;margin-left:1.05pt;margin-top:-35pt;width:593.25pt;height:96.9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" fillcolor="#000046" strokecolor="#1f3763 [1604]" strokeweight="1pt">
              <w10:wrap anchorx="page"/>
            </v:rect>
          </w:pict>
        </mc:Fallback>
      </mc:AlternateContent>
    </w:r>
    <w:r w:rsidR="004F6D9E">
      <w:rPr>
        <w:noProof/>
        <w:lang w:eastAsia="en-GB"/>
      </w:rPr>
      <mc:AlternateContent>
        <mc:Choice Requires="wps">
          <w:drawing>
            <wp:anchor distT="0" distB="0" distL="114300" distR="114300" simplePos="0" relativeHeight="251662336" behindDoc="0" locked="0" layoutInCell="1" allowOverlap="1" wp14:anchorId="7BA1282B" wp14:editId="39AFEE95">
              <wp:simplePos x="0" y="0"/>
              <wp:positionH relativeFrom="column">
                <wp:posOffset>-129209</wp:posOffset>
              </wp:positionH>
              <wp:positionV relativeFrom="paragraph">
                <wp:posOffset>37437</wp:posOffset>
              </wp:positionV>
              <wp:extent cx="288036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0360" cy="457200"/>
                      </a:xfrm>
                      <a:prstGeom prst="rect">
                        <a:avLst/>
                      </a:prstGeom>
                      <a:noFill/>
                      <a:ln w="6350">
                        <a:noFill/>
                      </a:ln>
                    </wps:spPr>
                    <wps:txbx>
                      <w:txbxContent>
                        <w:p w14:paraId="450EB026" w14:textId="14046B89" w:rsidR="00B010FC" w:rsidRPr="00C06D18" w:rsidRDefault="004F6D9E" w:rsidP="004F6D9E">
                          <w:pPr>
                            <w:spacing w:after="0"/>
                            <w:rPr>
                              <w:rFonts w:ascii="Arial" w:hAnsi="Arial" w:cs="Arial"/>
                              <w:b/>
                              <w:bCs/>
                              <w:color w:val="FFFFFF" w:themeColor="background1"/>
                              <w:sz w:val="22"/>
                            </w:rPr>
                          </w:pPr>
                          <w:r>
                            <w:rPr>
                              <w:rFonts w:ascii="Arial" w:hAnsi="Arial" w:cs="Arial"/>
                              <w:b/>
                              <w:bCs/>
                              <w:color w:val="FFFFFF" w:themeColor="background1"/>
                              <w:sz w:val="22"/>
                            </w:rPr>
                            <w:t>The status of EU nationals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1282B" id="_x0000_t202" coordsize="21600,21600" o:spt="202" path="m,l,21600r21600,l21600,xe">
              <v:stroke joinstyle="miter"/>
              <v:path gradientshapeok="t" o:connecttype="rect"/>
            </v:shapetype>
            <v:shape id="Text Box 3" o:spid="_x0000_s1030" type="#_x0000_t202" style="position:absolute;margin-left:-10.15pt;margin-top:2.95pt;width:22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" filled="f" stroked="f" strokeweight=".5pt">
              <v:textbox>
                <w:txbxContent>
                  <w:p w14:paraId="450EB026" w14:textId="14046B89" w:rsidR="00B010FC" w:rsidRPr="00C06D18" w:rsidRDefault="004F6D9E" w:rsidP="004F6D9E">
                    <w:pPr>
                      <w:spacing w:after="0"/>
                      <w:rPr>
                        <w:rFonts w:ascii="Arial" w:hAnsi="Arial" w:cs="Arial"/>
                        <w:b/>
                        <w:bCs/>
                        <w:color w:val="FFFFFF" w:themeColor="background1"/>
                        <w:sz w:val="22"/>
                      </w:rPr>
                    </w:pPr>
                    <w:r>
                      <w:rPr>
                        <w:rFonts w:ascii="Arial" w:hAnsi="Arial" w:cs="Arial"/>
                        <w:b/>
                        <w:bCs/>
                        <w:color w:val="FFFFFF" w:themeColor="background1"/>
                        <w:sz w:val="22"/>
                      </w:rPr>
                      <w:t>The status of EU nationals</w:t>
                    </w:r>
                  </w:p>
                </w:txbxContent>
              </v:textbox>
            </v:shape>
          </w:pict>
        </mc:Fallback>
      </mc:AlternateContent>
    </w:r>
    <w:r w:rsidR="00047299">
      <w:rPr>
        <w:noProof/>
      </w:rPr>
      <w:drawing>
        <wp:anchor distT="0" distB="0" distL="114300" distR="114300" simplePos="0" relativeHeight="251664384" behindDoc="0" locked="0" layoutInCell="1" allowOverlap="1" wp14:anchorId="349B6A81" wp14:editId="21FF1531">
          <wp:simplePos x="0" y="0"/>
          <wp:positionH relativeFrom="column">
            <wp:posOffset>3649345</wp:posOffset>
          </wp:positionH>
          <wp:positionV relativeFrom="paragraph">
            <wp:posOffset>-216027</wp:posOffset>
          </wp:positionV>
          <wp:extent cx="2748408" cy="82800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8408"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D18">
      <w:rPr>
        <w:noProof/>
      </w:rPr>
      <mc:AlternateContent>
        <mc:Choice Requires="wps">
          <w:drawing>
            <wp:anchor distT="0" distB="0" distL="114300" distR="114300" simplePos="0" relativeHeight="251666432" behindDoc="0" locked="0" layoutInCell="1" allowOverlap="1" wp14:anchorId="4E96EB84" wp14:editId="31C0E8AB">
              <wp:simplePos x="0" y="0"/>
              <wp:positionH relativeFrom="page">
                <wp:posOffset>24384</wp:posOffset>
              </wp:positionH>
              <wp:positionV relativeFrom="paragraph">
                <wp:posOffset>672084</wp:posOffset>
              </wp:positionV>
              <wp:extent cx="7534275" cy="47625"/>
              <wp:effectExtent l="0" t="0" r="9525" b="9525"/>
              <wp:wrapNone/>
              <wp:docPr id="19" name="Rectangle 19"/>
              <wp:cNvGraphicFramePr/>
              <a:graphic xmlns:a="http://schemas.openxmlformats.org/drawingml/2006/main">
                <a:graphicData uri="http://schemas.microsoft.com/office/word/2010/wordprocessingShape">
                  <wps:wsp>
                    <wps:cNvSpPr/>
                    <wps:spPr>
                      <a:xfrm>
                        <a:off x="0" y="0"/>
                        <a:ext cx="7534275" cy="4762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328" id="Rectangle 19" o:spid="_x0000_s1026" style="position:absolute;margin-left:1.9pt;margin-top:52.9pt;width:593.2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" fillcolor="#8eaadb [1940]" stroked="f" strokeweight="1pt">
              <w10:wrap anchorx="page"/>
            </v:rect>
          </w:pict>
        </mc:Fallback>
      </mc:AlternateContent>
    </w:r>
    <w:r w:rsidR="00B010FC">
      <w:rPr>
        <w:noProof/>
        <w:lang w:eastAsia="en-GB"/>
      </w:rPr>
      <w:drawing>
        <wp:anchor distT="0" distB="0" distL="114300" distR="114300" simplePos="0" relativeHeight="251658240" behindDoc="0" locked="0" layoutInCell="1" allowOverlap="1" wp14:anchorId="05A7F801" wp14:editId="3F87E7A9">
          <wp:simplePos x="0" y="0"/>
          <wp:positionH relativeFrom="column">
            <wp:posOffset>-885825</wp:posOffset>
          </wp:positionH>
          <wp:positionV relativeFrom="paragraph">
            <wp:posOffset>674370</wp:posOffset>
          </wp:positionV>
          <wp:extent cx="7486650" cy="457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486650" cy="45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C6C"/>
    <w:multiLevelType w:val="hybridMultilevel"/>
    <w:tmpl w:val="63C0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74497"/>
    <w:multiLevelType w:val="hybridMultilevel"/>
    <w:tmpl w:val="96780A4C"/>
    <w:lvl w:ilvl="0" w:tplc="708E7522">
      <w:start w:val="1"/>
      <w:numFmt w:val="lowerRoman"/>
      <w:lvlText w:val="(%1)"/>
      <w:lvlJc w:val="left"/>
      <w:pPr>
        <w:ind w:left="2160" w:hanging="720"/>
      </w:pPr>
      <w:rPr>
        <w:rFonts w:asciiTheme="minorHAnsi" w:eastAsiaTheme="minorHAnsi" w:hAnsiTheme="minorHAnsi" w:cstheme="minorBidi"/>
        <w:color w:val="000046"/>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AD7562"/>
    <w:multiLevelType w:val="hybridMultilevel"/>
    <w:tmpl w:val="A1B6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15A7C"/>
    <w:multiLevelType w:val="hybridMultilevel"/>
    <w:tmpl w:val="33D0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F7882"/>
    <w:multiLevelType w:val="hybridMultilevel"/>
    <w:tmpl w:val="8752FB0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94F96"/>
    <w:multiLevelType w:val="hybridMultilevel"/>
    <w:tmpl w:val="E604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F0370"/>
    <w:multiLevelType w:val="hybridMultilevel"/>
    <w:tmpl w:val="35B6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24F08"/>
    <w:multiLevelType w:val="hybridMultilevel"/>
    <w:tmpl w:val="6492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36C29"/>
    <w:multiLevelType w:val="hybridMultilevel"/>
    <w:tmpl w:val="7D8E4F0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1E9146B1"/>
    <w:multiLevelType w:val="hybridMultilevel"/>
    <w:tmpl w:val="8DC8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34A0E"/>
    <w:multiLevelType w:val="hybridMultilevel"/>
    <w:tmpl w:val="A0742BD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1F5E1B6D"/>
    <w:multiLevelType w:val="hybridMultilevel"/>
    <w:tmpl w:val="C172C304"/>
    <w:lvl w:ilvl="0" w:tplc="CC22F02A">
      <w:start w:val="3"/>
      <w:numFmt w:val="upperRoman"/>
      <w:lvlText w:val="(%1)"/>
      <w:lvlJc w:val="left"/>
      <w:pPr>
        <w:ind w:left="1080" w:hanging="720"/>
      </w:pPr>
      <w:rPr>
        <w:rFonts w:ascii="Calibri" w:hAnsi="Calibri" w:cs="Calibri" w:hint="default"/>
        <w:color w:val="auto"/>
        <w:sz w:val="2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971CC0"/>
    <w:multiLevelType w:val="hybridMultilevel"/>
    <w:tmpl w:val="9296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37ACD"/>
    <w:multiLevelType w:val="hybridMultilevel"/>
    <w:tmpl w:val="BBB0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2E6456"/>
    <w:multiLevelType w:val="hybridMultilevel"/>
    <w:tmpl w:val="47BEA956"/>
    <w:lvl w:ilvl="0" w:tplc="EB6C41DE">
      <w:start w:val="1"/>
      <w:numFmt w:val="upperRoman"/>
      <w:lvlText w:val="(%1)"/>
      <w:lvlJc w:val="left"/>
      <w:pPr>
        <w:ind w:left="1080" w:hanging="720"/>
      </w:pPr>
      <w:rPr>
        <w:rFonts w:ascii="Calibri" w:hAnsi="Calibri" w:cs="Calibri" w:hint="default"/>
        <w:color w:val="auto"/>
        <w:sz w:val="2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D61CC"/>
    <w:multiLevelType w:val="hybridMultilevel"/>
    <w:tmpl w:val="28A0D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AF6185"/>
    <w:multiLevelType w:val="hybridMultilevel"/>
    <w:tmpl w:val="0A141DC4"/>
    <w:lvl w:ilvl="0" w:tplc="63DA18E2">
      <w:start w:val="31"/>
      <w:numFmt w:val="decimal"/>
      <w:suff w:val="space"/>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B97654"/>
    <w:multiLevelType w:val="hybridMultilevel"/>
    <w:tmpl w:val="6756B8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2BA5328"/>
    <w:multiLevelType w:val="hybridMultilevel"/>
    <w:tmpl w:val="6FAE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541DF"/>
    <w:multiLevelType w:val="hybridMultilevel"/>
    <w:tmpl w:val="9A0C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55E6E"/>
    <w:multiLevelType w:val="hybridMultilevel"/>
    <w:tmpl w:val="BCDA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751590"/>
    <w:multiLevelType w:val="hybridMultilevel"/>
    <w:tmpl w:val="87D43A3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C65A112C">
      <w:start w:val="1"/>
      <w:numFmt w:val="lowerLetter"/>
      <w:lvlText w:val="(%3)"/>
      <w:lvlJc w:val="left"/>
      <w:pPr>
        <w:ind w:left="2340" w:hanging="360"/>
      </w:pPr>
      <w:rPr>
        <w:rFonts w:hint="default"/>
        <w:b/>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E3CFA"/>
    <w:multiLevelType w:val="multilevel"/>
    <w:tmpl w:val="73CE3A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2C0860"/>
    <w:multiLevelType w:val="hybridMultilevel"/>
    <w:tmpl w:val="FAA08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E508D1"/>
    <w:multiLevelType w:val="hybridMultilevel"/>
    <w:tmpl w:val="C9B0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24486"/>
    <w:multiLevelType w:val="hybridMultilevel"/>
    <w:tmpl w:val="024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F2FD0"/>
    <w:multiLevelType w:val="hybridMultilevel"/>
    <w:tmpl w:val="F8C0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D11D6"/>
    <w:multiLevelType w:val="hybridMultilevel"/>
    <w:tmpl w:val="A0AEBA36"/>
    <w:lvl w:ilvl="0" w:tplc="6418630A">
      <w:start w:val="3"/>
      <w:numFmt w:val="decimal"/>
      <w:lvlText w:val="(%1)"/>
      <w:lvlJc w:val="left"/>
      <w:pPr>
        <w:ind w:left="720" w:hanging="360"/>
      </w:pPr>
      <w:rPr>
        <w:rFonts w:hint="default"/>
        <w:b w:val="0"/>
        <w:bCs w:val="0"/>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E8662C"/>
    <w:multiLevelType w:val="hybridMultilevel"/>
    <w:tmpl w:val="D600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037540"/>
    <w:multiLevelType w:val="hybridMultilevel"/>
    <w:tmpl w:val="D954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C67D3"/>
    <w:multiLevelType w:val="hybridMultilevel"/>
    <w:tmpl w:val="9C2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2133D0"/>
    <w:multiLevelType w:val="hybridMultilevel"/>
    <w:tmpl w:val="C698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B944C8"/>
    <w:multiLevelType w:val="hybridMultilevel"/>
    <w:tmpl w:val="AD80A39E"/>
    <w:lvl w:ilvl="0" w:tplc="DBC0EB18">
      <w:start w:val="32"/>
      <w:numFmt w:val="decimal"/>
      <w:suff w:val="space"/>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9741F9"/>
    <w:multiLevelType w:val="hybridMultilevel"/>
    <w:tmpl w:val="73CE3A92"/>
    <w:lvl w:ilvl="0" w:tplc="181C59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AA44D2"/>
    <w:multiLevelType w:val="hybridMultilevel"/>
    <w:tmpl w:val="955426A4"/>
    <w:lvl w:ilvl="0" w:tplc="BBDEAD8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90B4C71"/>
    <w:multiLevelType w:val="hybridMultilevel"/>
    <w:tmpl w:val="EE0A9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E93206"/>
    <w:multiLevelType w:val="hybridMultilevel"/>
    <w:tmpl w:val="8188D3DC"/>
    <w:lvl w:ilvl="0" w:tplc="2D64CF2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5E8B349F"/>
    <w:multiLevelType w:val="hybridMultilevel"/>
    <w:tmpl w:val="CF6E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E8349F"/>
    <w:multiLevelType w:val="hybridMultilevel"/>
    <w:tmpl w:val="F5B0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033891"/>
    <w:multiLevelType w:val="hybridMultilevel"/>
    <w:tmpl w:val="6BB8D27C"/>
    <w:lvl w:ilvl="0" w:tplc="610A47F8">
      <w:start w:val="1"/>
      <w:numFmt w:val="bullet"/>
      <w:lvlText w:val=""/>
      <w:lvlJc w:val="left"/>
      <w:pPr>
        <w:ind w:left="360" w:hanging="360"/>
      </w:pPr>
      <w:rPr>
        <w:rFonts w:ascii="Wingdings" w:hAnsi="Wingding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6A66E7"/>
    <w:multiLevelType w:val="hybridMultilevel"/>
    <w:tmpl w:val="B7AE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7A7FA3"/>
    <w:multiLevelType w:val="hybridMultilevel"/>
    <w:tmpl w:val="A58C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EA4E71"/>
    <w:multiLevelType w:val="hybridMultilevel"/>
    <w:tmpl w:val="180E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70BA2"/>
    <w:multiLevelType w:val="hybridMultilevel"/>
    <w:tmpl w:val="E82A45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76E0445"/>
    <w:multiLevelType w:val="hybridMultilevel"/>
    <w:tmpl w:val="D27A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CB7D0F"/>
    <w:multiLevelType w:val="hybridMultilevel"/>
    <w:tmpl w:val="E28E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8"/>
  </w:num>
  <w:num w:numId="4">
    <w:abstractNumId w:val="12"/>
  </w:num>
  <w:num w:numId="5">
    <w:abstractNumId w:val="28"/>
  </w:num>
  <w:num w:numId="6">
    <w:abstractNumId w:val="41"/>
  </w:num>
  <w:num w:numId="7">
    <w:abstractNumId w:val="30"/>
  </w:num>
  <w:num w:numId="8">
    <w:abstractNumId w:val="43"/>
  </w:num>
  <w:num w:numId="9">
    <w:abstractNumId w:val="17"/>
  </w:num>
  <w:num w:numId="10">
    <w:abstractNumId w:val="31"/>
  </w:num>
  <w:num w:numId="11">
    <w:abstractNumId w:val="4"/>
  </w:num>
  <w:num w:numId="12">
    <w:abstractNumId w:val="6"/>
  </w:num>
  <w:num w:numId="13">
    <w:abstractNumId w:val="24"/>
  </w:num>
  <w:num w:numId="14">
    <w:abstractNumId w:val="20"/>
  </w:num>
  <w:num w:numId="15">
    <w:abstractNumId w:val="7"/>
  </w:num>
  <w:num w:numId="16">
    <w:abstractNumId w:val="5"/>
  </w:num>
  <w:num w:numId="17">
    <w:abstractNumId w:val="45"/>
  </w:num>
  <w:num w:numId="18">
    <w:abstractNumId w:val="42"/>
  </w:num>
  <w:num w:numId="19">
    <w:abstractNumId w:val="26"/>
  </w:num>
  <w:num w:numId="20">
    <w:abstractNumId w:val="29"/>
  </w:num>
  <w:num w:numId="21">
    <w:abstractNumId w:val="9"/>
  </w:num>
  <w:num w:numId="22">
    <w:abstractNumId w:val="19"/>
  </w:num>
  <w:num w:numId="23">
    <w:abstractNumId w:val="38"/>
  </w:num>
  <w:num w:numId="24">
    <w:abstractNumId w:val="3"/>
  </w:num>
  <w:num w:numId="25">
    <w:abstractNumId w:val="44"/>
  </w:num>
  <w:num w:numId="26">
    <w:abstractNumId w:val="13"/>
  </w:num>
  <w:num w:numId="27">
    <w:abstractNumId w:val="25"/>
  </w:num>
  <w:num w:numId="28">
    <w:abstractNumId w:val="0"/>
  </w:num>
  <w:num w:numId="29">
    <w:abstractNumId w:val="37"/>
  </w:num>
  <w:num w:numId="30">
    <w:abstractNumId w:val="10"/>
  </w:num>
  <w:num w:numId="31">
    <w:abstractNumId w:val="8"/>
  </w:num>
  <w:num w:numId="32">
    <w:abstractNumId w:val="21"/>
  </w:num>
  <w:num w:numId="33">
    <w:abstractNumId w:val="15"/>
  </w:num>
  <w:num w:numId="34">
    <w:abstractNumId w:val="14"/>
  </w:num>
  <w:num w:numId="35">
    <w:abstractNumId w:val="33"/>
  </w:num>
  <w:num w:numId="36">
    <w:abstractNumId w:val="27"/>
  </w:num>
  <w:num w:numId="37">
    <w:abstractNumId w:val="11"/>
  </w:num>
  <w:num w:numId="38">
    <w:abstractNumId w:val="16"/>
  </w:num>
  <w:num w:numId="39">
    <w:abstractNumId w:val="32"/>
  </w:num>
  <w:num w:numId="40">
    <w:abstractNumId w:val="40"/>
  </w:num>
  <w:num w:numId="41">
    <w:abstractNumId w:val="34"/>
  </w:num>
  <w:num w:numId="42">
    <w:abstractNumId w:val="1"/>
  </w:num>
  <w:num w:numId="43">
    <w:abstractNumId w:val="39"/>
  </w:num>
  <w:num w:numId="44">
    <w:abstractNumId w:val="36"/>
  </w:num>
  <w:num w:numId="45">
    <w:abstractNumId w:val="35"/>
  </w:num>
  <w:num w:numId="46">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C6"/>
    <w:rsid w:val="00003211"/>
    <w:rsid w:val="000035E6"/>
    <w:rsid w:val="00004781"/>
    <w:rsid w:val="00006319"/>
    <w:rsid w:val="00007F59"/>
    <w:rsid w:val="000239D3"/>
    <w:rsid w:val="00034C84"/>
    <w:rsid w:val="00047299"/>
    <w:rsid w:val="000536D4"/>
    <w:rsid w:val="000606BE"/>
    <w:rsid w:val="0007023D"/>
    <w:rsid w:val="000730D6"/>
    <w:rsid w:val="000800BC"/>
    <w:rsid w:val="00081CFA"/>
    <w:rsid w:val="00082190"/>
    <w:rsid w:val="000876AC"/>
    <w:rsid w:val="000A2512"/>
    <w:rsid w:val="000A5A83"/>
    <w:rsid w:val="000B08AA"/>
    <w:rsid w:val="000B5EDB"/>
    <w:rsid w:val="000C2C62"/>
    <w:rsid w:val="000D1F1E"/>
    <w:rsid w:val="000D2A5F"/>
    <w:rsid w:val="000D4C97"/>
    <w:rsid w:val="000E15DC"/>
    <w:rsid w:val="000E1BF8"/>
    <w:rsid w:val="000E4942"/>
    <w:rsid w:val="00102822"/>
    <w:rsid w:val="00102D68"/>
    <w:rsid w:val="00105202"/>
    <w:rsid w:val="001075C7"/>
    <w:rsid w:val="00114648"/>
    <w:rsid w:val="001146D8"/>
    <w:rsid w:val="00122D1F"/>
    <w:rsid w:val="0012472C"/>
    <w:rsid w:val="00130389"/>
    <w:rsid w:val="001315CD"/>
    <w:rsid w:val="00136267"/>
    <w:rsid w:val="00150D03"/>
    <w:rsid w:val="00153CDE"/>
    <w:rsid w:val="001634BC"/>
    <w:rsid w:val="001636D2"/>
    <w:rsid w:val="00165528"/>
    <w:rsid w:val="0017754C"/>
    <w:rsid w:val="0019654B"/>
    <w:rsid w:val="001A57EF"/>
    <w:rsid w:val="001C12CB"/>
    <w:rsid w:val="001C187D"/>
    <w:rsid w:val="001D24A1"/>
    <w:rsid w:val="001E5D0C"/>
    <w:rsid w:val="001E6AD1"/>
    <w:rsid w:val="001F01C2"/>
    <w:rsid w:val="002140B6"/>
    <w:rsid w:val="002222A7"/>
    <w:rsid w:val="0023267F"/>
    <w:rsid w:val="00242441"/>
    <w:rsid w:val="00251823"/>
    <w:rsid w:val="002668E4"/>
    <w:rsid w:val="00274C91"/>
    <w:rsid w:val="00283CCC"/>
    <w:rsid w:val="00286E5D"/>
    <w:rsid w:val="00290761"/>
    <w:rsid w:val="00296497"/>
    <w:rsid w:val="00296539"/>
    <w:rsid w:val="00297741"/>
    <w:rsid w:val="002A4271"/>
    <w:rsid w:val="002B0ADA"/>
    <w:rsid w:val="002B56D2"/>
    <w:rsid w:val="002C04DA"/>
    <w:rsid w:val="002C2976"/>
    <w:rsid w:val="002C4F49"/>
    <w:rsid w:val="002D65B6"/>
    <w:rsid w:val="002D6E39"/>
    <w:rsid w:val="002F067D"/>
    <w:rsid w:val="00301451"/>
    <w:rsid w:val="00303369"/>
    <w:rsid w:val="00303A5D"/>
    <w:rsid w:val="003050F4"/>
    <w:rsid w:val="0030678C"/>
    <w:rsid w:val="003123CD"/>
    <w:rsid w:val="003146AD"/>
    <w:rsid w:val="0031493E"/>
    <w:rsid w:val="00320F7E"/>
    <w:rsid w:val="0032410C"/>
    <w:rsid w:val="003264B0"/>
    <w:rsid w:val="00331000"/>
    <w:rsid w:val="00331B4B"/>
    <w:rsid w:val="00332590"/>
    <w:rsid w:val="00332ACA"/>
    <w:rsid w:val="0033629B"/>
    <w:rsid w:val="0035447D"/>
    <w:rsid w:val="003614FE"/>
    <w:rsid w:val="00366565"/>
    <w:rsid w:val="00370617"/>
    <w:rsid w:val="0037214E"/>
    <w:rsid w:val="0038241D"/>
    <w:rsid w:val="00383345"/>
    <w:rsid w:val="0038373D"/>
    <w:rsid w:val="00383C2C"/>
    <w:rsid w:val="003A24D9"/>
    <w:rsid w:val="003A389F"/>
    <w:rsid w:val="003A39A4"/>
    <w:rsid w:val="003A4F73"/>
    <w:rsid w:val="003B28AE"/>
    <w:rsid w:val="003B342F"/>
    <w:rsid w:val="003B3453"/>
    <w:rsid w:val="003B6B10"/>
    <w:rsid w:val="003D0644"/>
    <w:rsid w:val="003D57C7"/>
    <w:rsid w:val="003E2923"/>
    <w:rsid w:val="003E5B08"/>
    <w:rsid w:val="003F0A14"/>
    <w:rsid w:val="003F2144"/>
    <w:rsid w:val="003F2473"/>
    <w:rsid w:val="003F2917"/>
    <w:rsid w:val="00400434"/>
    <w:rsid w:val="004006C0"/>
    <w:rsid w:val="00400E68"/>
    <w:rsid w:val="00402080"/>
    <w:rsid w:val="00406143"/>
    <w:rsid w:val="00406EC1"/>
    <w:rsid w:val="00410C28"/>
    <w:rsid w:val="00414318"/>
    <w:rsid w:val="00426B04"/>
    <w:rsid w:val="004344BC"/>
    <w:rsid w:val="0043537B"/>
    <w:rsid w:val="00435C1E"/>
    <w:rsid w:val="004376E5"/>
    <w:rsid w:val="00440B49"/>
    <w:rsid w:val="004446CD"/>
    <w:rsid w:val="00450ECD"/>
    <w:rsid w:val="00463A73"/>
    <w:rsid w:val="0046580F"/>
    <w:rsid w:val="00466358"/>
    <w:rsid w:val="00467DE0"/>
    <w:rsid w:val="00475A05"/>
    <w:rsid w:val="004827DD"/>
    <w:rsid w:val="0048434C"/>
    <w:rsid w:val="00493E18"/>
    <w:rsid w:val="00496402"/>
    <w:rsid w:val="00497100"/>
    <w:rsid w:val="004A1AAF"/>
    <w:rsid w:val="004A5018"/>
    <w:rsid w:val="004A5237"/>
    <w:rsid w:val="004A5894"/>
    <w:rsid w:val="004B042F"/>
    <w:rsid w:val="004B09E1"/>
    <w:rsid w:val="004B1E7B"/>
    <w:rsid w:val="004B2855"/>
    <w:rsid w:val="004C2817"/>
    <w:rsid w:val="004D3638"/>
    <w:rsid w:val="004E210A"/>
    <w:rsid w:val="004E223E"/>
    <w:rsid w:val="004E6C99"/>
    <w:rsid w:val="004F0128"/>
    <w:rsid w:val="004F6D1B"/>
    <w:rsid w:val="004F6D9E"/>
    <w:rsid w:val="004F7A67"/>
    <w:rsid w:val="004F7B46"/>
    <w:rsid w:val="004F7C86"/>
    <w:rsid w:val="00502AC6"/>
    <w:rsid w:val="00510D87"/>
    <w:rsid w:val="00511D1D"/>
    <w:rsid w:val="005122F6"/>
    <w:rsid w:val="0052461D"/>
    <w:rsid w:val="005252C3"/>
    <w:rsid w:val="00525E51"/>
    <w:rsid w:val="00530D25"/>
    <w:rsid w:val="00537DF3"/>
    <w:rsid w:val="00547F79"/>
    <w:rsid w:val="00582D86"/>
    <w:rsid w:val="00585397"/>
    <w:rsid w:val="005859B5"/>
    <w:rsid w:val="00586A7B"/>
    <w:rsid w:val="00595C14"/>
    <w:rsid w:val="005A1C17"/>
    <w:rsid w:val="005A3E88"/>
    <w:rsid w:val="005B14EA"/>
    <w:rsid w:val="005B15E5"/>
    <w:rsid w:val="005B28EA"/>
    <w:rsid w:val="005B487C"/>
    <w:rsid w:val="005D40B8"/>
    <w:rsid w:val="00602F1C"/>
    <w:rsid w:val="00611E36"/>
    <w:rsid w:val="0061216F"/>
    <w:rsid w:val="00612CD8"/>
    <w:rsid w:val="00620335"/>
    <w:rsid w:val="0062224C"/>
    <w:rsid w:val="00627777"/>
    <w:rsid w:val="00632A34"/>
    <w:rsid w:val="00633812"/>
    <w:rsid w:val="0064184D"/>
    <w:rsid w:val="00645106"/>
    <w:rsid w:val="006555C2"/>
    <w:rsid w:val="00655D75"/>
    <w:rsid w:val="006568A8"/>
    <w:rsid w:val="00662F53"/>
    <w:rsid w:val="00664E7A"/>
    <w:rsid w:val="00666262"/>
    <w:rsid w:val="00666D9D"/>
    <w:rsid w:val="00670C32"/>
    <w:rsid w:val="00676126"/>
    <w:rsid w:val="0069024E"/>
    <w:rsid w:val="00690CBB"/>
    <w:rsid w:val="006C1133"/>
    <w:rsid w:val="006D0626"/>
    <w:rsid w:val="006D0E75"/>
    <w:rsid w:val="006D28EE"/>
    <w:rsid w:val="006D5C57"/>
    <w:rsid w:val="006D6D26"/>
    <w:rsid w:val="006D7386"/>
    <w:rsid w:val="006E1A52"/>
    <w:rsid w:val="006F0FA1"/>
    <w:rsid w:val="006F43F4"/>
    <w:rsid w:val="00703D7B"/>
    <w:rsid w:val="00704742"/>
    <w:rsid w:val="007241A0"/>
    <w:rsid w:val="00724D18"/>
    <w:rsid w:val="0072660C"/>
    <w:rsid w:val="00726CD1"/>
    <w:rsid w:val="007421A4"/>
    <w:rsid w:val="00746CA1"/>
    <w:rsid w:val="00747E80"/>
    <w:rsid w:val="0075103A"/>
    <w:rsid w:val="0075304F"/>
    <w:rsid w:val="007545F0"/>
    <w:rsid w:val="00755958"/>
    <w:rsid w:val="0077048E"/>
    <w:rsid w:val="00771367"/>
    <w:rsid w:val="00790055"/>
    <w:rsid w:val="007B00DC"/>
    <w:rsid w:val="007B2BDE"/>
    <w:rsid w:val="007C35CF"/>
    <w:rsid w:val="007E4735"/>
    <w:rsid w:val="007E4CE8"/>
    <w:rsid w:val="007E6723"/>
    <w:rsid w:val="007F1236"/>
    <w:rsid w:val="00805D93"/>
    <w:rsid w:val="008079F9"/>
    <w:rsid w:val="008141D6"/>
    <w:rsid w:val="00817B91"/>
    <w:rsid w:val="00831CCD"/>
    <w:rsid w:val="00834CE3"/>
    <w:rsid w:val="0084103B"/>
    <w:rsid w:val="008425E5"/>
    <w:rsid w:val="0084333A"/>
    <w:rsid w:val="008435E6"/>
    <w:rsid w:val="0084589F"/>
    <w:rsid w:val="00856B41"/>
    <w:rsid w:val="00857795"/>
    <w:rsid w:val="00857BB9"/>
    <w:rsid w:val="00857D6A"/>
    <w:rsid w:val="00863500"/>
    <w:rsid w:val="00874A53"/>
    <w:rsid w:val="00877C87"/>
    <w:rsid w:val="00880A3E"/>
    <w:rsid w:val="00885133"/>
    <w:rsid w:val="008A1C6B"/>
    <w:rsid w:val="008A33CE"/>
    <w:rsid w:val="008A5157"/>
    <w:rsid w:val="008A5A85"/>
    <w:rsid w:val="008B5B54"/>
    <w:rsid w:val="008B5E47"/>
    <w:rsid w:val="008C157E"/>
    <w:rsid w:val="008D12A2"/>
    <w:rsid w:val="008D3B23"/>
    <w:rsid w:val="008F2CE8"/>
    <w:rsid w:val="008F4DFD"/>
    <w:rsid w:val="009013C6"/>
    <w:rsid w:val="00903CD5"/>
    <w:rsid w:val="00910B1E"/>
    <w:rsid w:val="00912AC3"/>
    <w:rsid w:val="009145D0"/>
    <w:rsid w:val="00920CB0"/>
    <w:rsid w:val="00931F09"/>
    <w:rsid w:val="009321A9"/>
    <w:rsid w:val="00932621"/>
    <w:rsid w:val="00941358"/>
    <w:rsid w:val="0094213B"/>
    <w:rsid w:val="00942B0B"/>
    <w:rsid w:val="00943799"/>
    <w:rsid w:val="00950111"/>
    <w:rsid w:val="00956E63"/>
    <w:rsid w:val="00966CC4"/>
    <w:rsid w:val="009676EF"/>
    <w:rsid w:val="009676FF"/>
    <w:rsid w:val="00970C88"/>
    <w:rsid w:val="00971D45"/>
    <w:rsid w:val="00972E6D"/>
    <w:rsid w:val="009854FA"/>
    <w:rsid w:val="00987892"/>
    <w:rsid w:val="00991701"/>
    <w:rsid w:val="009932F1"/>
    <w:rsid w:val="0099423C"/>
    <w:rsid w:val="00997CCF"/>
    <w:rsid w:val="009A4CFC"/>
    <w:rsid w:val="009B533C"/>
    <w:rsid w:val="009B56F7"/>
    <w:rsid w:val="009C332C"/>
    <w:rsid w:val="009D0675"/>
    <w:rsid w:val="009D556D"/>
    <w:rsid w:val="009D5849"/>
    <w:rsid w:val="009D5D28"/>
    <w:rsid w:val="009E43FD"/>
    <w:rsid w:val="009E63F3"/>
    <w:rsid w:val="009E70F2"/>
    <w:rsid w:val="009F1AD0"/>
    <w:rsid w:val="009F2580"/>
    <w:rsid w:val="009F7446"/>
    <w:rsid w:val="00A042FB"/>
    <w:rsid w:val="00A05B37"/>
    <w:rsid w:val="00A06E70"/>
    <w:rsid w:val="00A16C17"/>
    <w:rsid w:val="00A17C6E"/>
    <w:rsid w:val="00A27E12"/>
    <w:rsid w:val="00A27F2A"/>
    <w:rsid w:val="00A345DB"/>
    <w:rsid w:val="00A36FEC"/>
    <w:rsid w:val="00A468D5"/>
    <w:rsid w:val="00A50A9D"/>
    <w:rsid w:val="00A551C6"/>
    <w:rsid w:val="00A615CC"/>
    <w:rsid w:val="00A676CA"/>
    <w:rsid w:val="00A70345"/>
    <w:rsid w:val="00A70B8B"/>
    <w:rsid w:val="00A717AF"/>
    <w:rsid w:val="00A72315"/>
    <w:rsid w:val="00A8799D"/>
    <w:rsid w:val="00A9495E"/>
    <w:rsid w:val="00AA24F4"/>
    <w:rsid w:val="00AA495B"/>
    <w:rsid w:val="00AA7F42"/>
    <w:rsid w:val="00AB2A11"/>
    <w:rsid w:val="00AC13EF"/>
    <w:rsid w:val="00AC3B5E"/>
    <w:rsid w:val="00AC7B5A"/>
    <w:rsid w:val="00AD7975"/>
    <w:rsid w:val="00AE30BF"/>
    <w:rsid w:val="00AE456D"/>
    <w:rsid w:val="00AE6C4A"/>
    <w:rsid w:val="00AE7887"/>
    <w:rsid w:val="00AF3BD5"/>
    <w:rsid w:val="00B010FC"/>
    <w:rsid w:val="00B01290"/>
    <w:rsid w:val="00B0220F"/>
    <w:rsid w:val="00B21B74"/>
    <w:rsid w:val="00B2628B"/>
    <w:rsid w:val="00B270B2"/>
    <w:rsid w:val="00B30FE5"/>
    <w:rsid w:val="00B343FB"/>
    <w:rsid w:val="00B519C6"/>
    <w:rsid w:val="00B60639"/>
    <w:rsid w:val="00B63307"/>
    <w:rsid w:val="00B64585"/>
    <w:rsid w:val="00B67C3F"/>
    <w:rsid w:val="00B819F0"/>
    <w:rsid w:val="00B83155"/>
    <w:rsid w:val="00B93A8F"/>
    <w:rsid w:val="00B96A1E"/>
    <w:rsid w:val="00B974E4"/>
    <w:rsid w:val="00BA0E72"/>
    <w:rsid w:val="00BB2D2E"/>
    <w:rsid w:val="00BB571C"/>
    <w:rsid w:val="00BB6488"/>
    <w:rsid w:val="00BB7AD4"/>
    <w:rsid w:val="00BB7F2A"/>
    <w:rsid w:val="00BC3868"/>
    <w:rsid w:val="00BC5825"/>
    <w:rsid w:val="00BD2677"/>
    <w:rsid w:val="00BD5CDD"/>
    <w:rsid w:val="00BD612D"/>
    <w:rsid w:val="00BE2283"/>
    <w:rsid w:val="00BF1608"/>
    <w:rsid w:val="00BF2677"/>
    <w:rsid w:val="00BF2812"/>
    <w:rsid w:val="00BF3336"/>
    <w:rsid w:val="00BF3C97"/>
    <w:rsid w:val="00BF47D3"/>
    <w:rsid w:val="00C05D8A"/>
    <w:rsid w:val="00C06D18"/>
    <w:rsid w:val="00C1228B"/>
    <w:rsid w:val="00C209EE"/>
    <w:rsid w:val="00C23403"/>
    <w:rsid w:val="00C32B75"/>
    <w:rsid w:val="00C3406C"/>
    <w:rsid w:val="00C368DC"/>
    <w:rsid w:val="00C36B6B"/>
    <w:rsid w:val="00C37551"/>
    <w:rsid w:val="00C37B77"/>
    <w:rsid w:val="00C4072C"/>
    <w:rsid w:val="00C43086"/>
    <w:rsid w:val="00C46929"/>
    <w:rsid w:val="00C53309"/>
    <w:rsid w:val="00C64652"/>
    <w:rsid w:val="00C6557C"/>
    <w:rsid w:val="00C66092"/>
    <w:rsid w:val="00C664E4"/>
    <w:rsid w:val="00C7444F"/>
    <w:rsid w:val="00C74E67"/>
    <w:rsid w:val="00C90AFC"/>
    <w:rsid w:val="00C911BD"/>
    <w:rsid w:val="00CA001D"/>
    <w:rsid w:val="00CA4525"/>
    <w:rsid w:val="00CB31DB"/>
    <w:rsid w:val="00CB44CB"/>
    <w:rsid w:val="00CB4661"/>
    <w:rsid w:val="00CB6BCA"/>
    <w:rsid w:val="00CC65EE"/>
    <w:rsid w:val="00CD444B"/>
    <w:rsid w:val="00CD7911"/>
    <w:rsid w:val="00CE7750"/>
    <w:rsid w:val="00CF1649"/>
    <w:rsid w:val="00D0522E"/>
    <w:rsid w:val="00D1000D"/>
    <w:rsid w:val="00D20F3E"/>
    <w:rsid w:val="00D21046"/>
    <w:rsid w:val="00D2471F"/>
    <w:rsid w:val="00D2540B"/>
    <w:rsid w:val="00D3248A"/>
    <w:rsid w:val="00D35D80"/>
    <w:rsid w:val="00D364CD"/>
    <w:rsid w:val="00D43EF6"/>
    <w:rsid w:val="00D507B7"/>
    <w:rsid w:val="00D60F91"/>
    <w:rsid w:val="00D6153F"/>
    <w:rsid w:val="00D647EF"/>
    <w:rsid w:val="00D666DC"/>
    <w:rsid w:val="00D66C3A"/>
    <w:rsid w:val="00D70AC9"/>
    <w:rsid w:val="00D738B8"/>
    <w:rsid w:val="00D73E1C"/>
    <w:rsid w:val="00D74B28"/>
    <w:rsid w:val="00D74D2C"/>
    <w:rsid w:val="00D7501D"/>
    <w:rsid w:val="00D7729A"/>
    <w:rsid w:val="00D80750"/>
    <w:rsid w:val="00D80B21"/>
    <w:rsid w:val="00D824A9"/>
    <w:rsid w:val="00DA66AB"/>
    <w:rsid w:val="00DB43DC"/>
    <w:rsid w:val="00DC3A1C"/>
    <w:rsid w:val="00DD0346"/>
    <w:rsid w:val="00DD1569"/>
    <w:rsid w:val="00DD2409"/>
    <w:rsid w:val="00DF1DA4"/>
    <w:rsid w:val="00DF525D"/>
    <w:rsid w:val="00E00654"/>
    <w:rsid w:val="00E029E1"/>
    <w:rsid w:val="00E03662"/>
    <w:rsid w:val="00E03DCF"/>
    <w:rsid w:val="00E07419"/>
    <w:rsid w:val="00E1178A"/>
    <w:rsid w:val="00E14F50"/>
    <w:rsid w:val="00E36048"/>
    <w:rsid w:val="00E40747"/>
    <w:rsid w:val="00E462CE"/>
    <w:rsid w:val="00E5000D"/>
    <w:rsid w:val="00E50822"/>
    <w:rsid w:val="00E53710"/>
    <w:rsid w:val="00E643D5"/>
    <w:rsid w:val="00E653BF"/>
    <w:rsid w:val="00E65F5A"/>
    <w:rsid w:val="00E74F82"/>
    <w:rsid w:val="00E75BB9"/>
    <w:rsid w:val="00E776B6"/>
    <w:rsid w:val="00E841A1"/>
    <w:rsid w:val="00E86EB0"/>
    <w:rsid w:val="00EA33C8"/>
    <w:rsid w:val="00EA465E"/>
    <w:rsid w:val="00EA5906"/>
    <w:rsid w:val="00EB009C"/>
    <w:rsid w:val="00EB372D"/>
    <w:rsid w:val="00EC14CE"/>
    <w:rsid w:val="00EC1669"/>
    <w:rsid w:val="00ED7FBD"/>
    <w:rsid w:val="00EE3643"/>
    <w:rsid w:val="00EF3B9A"/>
    <w:rsid w:val="00EF6EF3"/>
    <w:rsid w:val="00F0497C"/>
    <w:rsid w:val="00F1765B"/>
    <w:rsid w:val="00F22BA1"/>
    <w:rsid w:val="00F244B7"/>
    <w:rsid w:val="00F277C7"/>
    <w:rsid w:val="00F30965"/>
    <w:rsid w:val="00F3564D"/>
    <w:rsid w:val="00F42707"/>
    <w:rsid w:val="00F46DC4"/>
    <w:rsid w:val="00F47AF8"/>
    <w:rsid w:val="00F47D88"/>
    <w:rsid w:val="00F51653"/>
    <w:rsid w:val="00F60AA8"/>
    <w:rsid w:val="00F76EEA"/>
    <w:rsid w:val="00F95C16"/>
    <w:rsid w:val="00FA46BE"/>
    <w:rsid w:val="00FA77FD"/>
    <w:rsid w:val="00FA7931"/>
    <w:rsid w:val="00FB510E"/>
    <w:rsid w:val="00FB6B15"/>
    <w:rsid w:val="00FC6CF5"/>
    <w:rsid w:val="00FD0D46"/>
    <w:rsid w:val="00FD46C9"/>
    <w:rsid w:val="00FE04AA"/>
    <w:rsid w:val="00FE39A4"/>
    <w:rsid w:val="00FF2B0D"/>
    <w:rsid w:val="00FF2F97"/>
    <w:rsid w:val="00FF4849"/>
    <w:rsid w:val="00FF5047"/>
    <w:rsid w:val="00FF6F5C"/>
    <w:rsid w:val="00FF77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6EDB"/>
  <w15:chartTrackingRefBased/>
  <w15:docId w15:val="{D439E70C-F0C7-4B25-B44B-EB1AAA31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B9A"/>
    <w:rPr>
      <w:sz w:val="24"/>
      <w:szCs w:val="24"/>
    </w:rPr>
  </w:style>
  <w:style w:type="paragraph" w:styleId="Heading1">
    <w:name w:val="heading 1"/>
    <w:basedOn w:val="Normal"/>
    <w:next w:val="Normal"/>
    <w:link w:val="Heading1Char"/>
    <w:uiPriority w:val="9"/>
    <w:qFormat/>
    <w:rsid w:val="00C06D18"/>
    <w:pPr>
      <w:keepNext/>
      <w:keepLines/>
      <w:spacing w:before="240" w:after="0"/>
      <w:outlineLvl w:val="0"/>
    </w:pPr>
    <w:rPr>
      <w:rFonts w:ascii="Arial" w:eastAsiaTheme="majorEastAsia" w:hAnsi="Arial" w:cs="Arial"/>
      <w:b/>
      <w:bCs/>
      <w:color w:val="002060"/>
      <w:sz w:val="32"/>
      <w:szCs w:val="32"/>
    </w:rPr>
  </w:style>
  <w:style w:type="paragraph" w:styleId="Heading2">
    <w:name w:val="heading 2"/>
    <w:basedOn w:val="Normal"/>
    <w:next w:val="Normal"/>
    <w:link w:val="Heading2Char"/>
    <w:uiPriority w:val="9"/>
    <w:unhideWhenUsed/>
    <w:qFormat/>
    <w:rsid w:val="00C06D18"/>
    <w:pPr>
      <w:keepNext/>
      <w:keepLines/>
      <w:spacing w:before="40" w:after="0"/>
      <w:outlineLvl w:val="1"/>
    </w:pPr>
    <w:rPr>
      <w:rFonts w:ascii="Arial" w:eastAsiaTheme="majorEastAsia" w:hAnsi="Arial" w:cs="Arial"/>
      <w:color w:val="002060"/>
      <w:sz w:val="28"/>
      <w:szCs w:val="28"/>
    </w:rPr>
  </w:style>
  <w:style w:type="paragraph" w:styleId="Heading3">
    <w:name w:val="heading 3"/>
    <w:basedOn w:val="Normal"/>
    <w:next w:val="Normal"/>
    <w:link w:val="Heading3Char"/>
    <w:uiPriority w:val="9"/>
    <w:unhideWhenUsed/>
    <w:qFormat/>
    <w:rsid w:val="00C06D18"/>
    <w:pPr>
      <w:keepNext/>
      <w:keepLines/>
      <w:spacing w:before="40" w:after="0"/>
      <w:outlineLvl w:val="2"/>
    </w:pPr>
    <w:rPr>
      <w:rFonts w:ascii="Arial" w:eastAsiaTheme="majorEastAsia" w:hAnsi="Arial" w:cs="Arial"/>
      <w:color w:val="002060"/>
    </w:rPr>
  </w:style>
  <w:style w:type="paragraph" w:styleId="Heading4">
    <w:name w:val="heading 4"/>
    <w:basedOn w:val="Normal"/>
    <w:next w:val="Normal"/>
    <w:link w:val="Heading4Char"/>
    <w:uiPriority w:val="9"/>
    <w:unhideWhenUsed/>
    <w:qFormat/>
    <w:rsid w:val="00AE7887"/>
    <w:pPr>
      <w:keepNext/>
      <w:keepLines/>
      <w:spacing w:before="40" w:after="0"/>
      <w:outlineLvl w:val="3"/>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19C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19C6"/>
    <w:rPr>
      <w:rFonts w:eastAsiaTheme="minorEastAsia"/>
      <w:lang w:val="en-US"/>
    </w:rPr>
  </w:style>
  <w:style w:type="paragraph" w:styleId="Header">
    <w:name w:val="header"/>
    <w:basedOn w:val="Normal"/>
    <w:link w:val="HeaderChar"/>
    <w:uiPriority w:val="99"/>
    <w:unhideWhenUsed/>
    <w:rsid w:val="00BB7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2A"/>
  </w:style>
  <w:style w:type="paragraph" w:styleId="Footer">
    <w:name w:val="footer"/>
    <w:basedOn w:val="Normal"/>
    <w:link w:val="FooterChar"/>
    <w:uiPriority w:val="99"/>
    <w:unhideWhenUsed/>
    <w:rsid w:val="00BB7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2A"/>
  </w:style>
  <w:style w:type="character" w:customStyle="1" w:styleId="Heading1Char">
    <w:name w:val="Heading 1 Char"/>
    <w:basedOn w:val="DefaultParagraphFont"/>
    <w:link w:val="Heading1"/>
    <w:uiPriority w:val="9"/>
    <w:rsid w:val="00C06D18"/>
    <w:rPr>
      <w:rFonts w:ascii="Arial" w:eastAsiaTheme="majorEastAsia" w:hAnsi="Arial" w:cs="Arial"/>
      <w:b/>
      <w:bCs/>
      <w:color w:val="002060"/>
      <w:sz w:val="32"/>
      <w:szCs w:val="32"/>
    </w:rPr>
  </w:style>
  <w:style w:type="character" w:styleId="Hyperlink">
    <w:name w:val="Hyperlink"/>
    <w:basedOn w:val="DefaultParagraphFont"/>
    <w:uiPriority w:val="99"/>
    <w:unhideWhenUsed/>
    <w:rsid w:val="00E14F50"/>
    <w:rPr>
      <w:color w:val="0563C1" w:themeColor="hyperlink"/>
      <w:u w:val="single"/>
    </w:rPr>
  </w:style>
  <w:style w:type="paragraph" w:styleId="ListParagraph">
    <w:name w:val="List Paragraph"/>
    <w:basedOn w:val="Normal"/>
    <w:uiPriority w:val="34"/>
    <w:qFormat/>
    <w:rsid w:val="002A4271"/>
    <w:pPr>
      <w:spacing w:line="240" w:lineRule="auto"/>
      <w:ind w:left="720"/>
      <w:contextualSpacing/>
    </w:pPr>
  </w:style>
  <w:style w:type="character" w:styleId="PlaceholderText">
    <w:name w:val="Placeholder Text"/>
    <w:basedOn w:val="DefaultParagraphFont"/>
    <w:uiPriority w:val="99"/>
    <w:semiHidden/>
    <w:rsid w:val="00E14F50"/>
    <w:rPr>
      <w:color w:val="808080"/>
    </w:rPr>
  </w:style>
  <w:style w:type="character" w:customStyle="1" w:styleId="Heading2Char">
    <w:name w:val="Heading 2 Char"/>
    <w:basedOn w:val="DefaultParagraphFont"/>
    <w:link w:val="Heading2"/>
    <w:uiPriority w:val="9"/>
    <w:rsid w:val="00C06D18"/>
    <w:rPr>
      <w:rFonts w:ascii="Arial" w:eastAsiaTheme="majorEastAsia" w:hAnsi="Arial" w:cs="Arial"/>
      <w:color w:val="002060"/>
      <w:sz w:val="28"/>
      <w:szCs w:val="28"/>
    </w:rPr>
  </w:style>
  <w:style w:type="character" w:customStyle="1" w:styleId="Heading3Char">
    <w:name w:val="Heading 3 Char"/>
    <w:basedOn w:val="DefaultParagraphFont"/>
    <w:link w:val="Heading3"/>
    <w:uiPriority w:val="9"/>
    <w:rsid w:val="00C06D18"/>
    <w:rPr>
      <w:rFonts w:ascii="Arial" w:eastAsiaTheme="majorEastAsia" w:hAnsi="Arial" w:cs="Arial"/>
      <w:color w:val="002060"/>
      <w:sz w:val="24"/>
      <w:szCs w:val="24"/>
    </w:rPr>
  </w:style>
  <w:style w:type="paragraph" w:styleId="TOCHeading">
    <w:name w:val="TOC Heading"/>
    <w:basedOn w:val="Heading1"/>
    <w:next w:val="Normal"/>
    <w:uiPriority w:val="39"/>
    <w:unhideWhenUsed/>
    <w:qFormat/>
    <w:rsid w:val="00296497"/>
    <w:pPr>
      <w:outlineLvl w:val="9"/>
    </w:pPr>
    <w:rPr>
      <w:rFonts w:asciiTheme="majorHAnsi" w:hAnsiTheme="majorHAnsi" w:cstheme="majorBidi"/>
      <w:b w:val="0"/>
      <w:bCs w:val="0"/>
      <w:lang w:val="en-US"/>
    </w:rPr>
  </w:style>
  <w:style w:type="paragraph" w:styleId="TOC1">
    <w:name w:val="toc 1"/>
    <w:basedOn w:val="Normal"/>
    <w:next w:val="Normal"/>
    <w:autoRedefine/>
    <w:uiPriority w:val="39"/>
    <w:unhideWhenUsed/>
    <w:rsid w:val="00296497"/>
    <w:pPr>
      <w:spacing w:before="120" w:after="0"/>
    </w:pPr>
    <w:rPr>
      <w:rFonts w:cstheme="minorHAnsi"/>
      <w:b/>
      <w:bCs/>
      <w:i/>
      <w:iCs/>
    </w:rPr>
  </w:style>
  <w:style w:type="paragraph" w:styleId="TOC2">
    <w:name w:val="toc 2"/>
    <w:basedOn w:val="Normal"/>
    <w:next w:val="Normal"/>
    <w:autoRedefine/>
    <w:uiPriority w:val="39"/>
    <w:unhideWhenUsed/>
    <w:rsid w:val="00296497"/>
    <w:pPr>
      <w:spacing w:before="120" w:after="0"/>
      <w:ind w:left="240"/>
    </w:pPr>
    <w:rPr>
      <w:rFonts w:cstheme="minorHAnsi"/>
      <w:b/>
      <w:bCs/>
      <w:sz w:val="22"/>
      <w:szCs w:val="22"/>
    </w:rPr>
  </w:style>
  <w:style w:type="paragraph" w:styleId="TOC3">
    <w:name w:val="toc 3"/>
    <w:basedOn w:val="Normal"/>
    <w:next w:val="Normal"/>
    <w:autoRedefine/>
    <w:uiPriority w:val="39"/>
    <w:unhideWhenUsed/>
    <w:rsid w:val="00296497"/>
    <w:pPr>
      <w:spacing w:after="0"/>
      <w:ind w:left="480"/>
    </w:pPr>
    <w:rPr>
      <w:rFonts w:cstheme="minorHAnsi"/>
      <w:sz w:val="20"/>
      <w:szCs w:val="20"/>
    </w:rPr>
  </w:style>
  <w:style w:type="paragraph" w:styleId="FootnoteText">
    <w:name w:val="footnote text"/>
    <w:basedOn w:val="Normal"/>
    <w:link w:val="FootnoteTextChar"/>
    <w:uiPriority w:val="99"/>
    <w:semiHidden/>
    <w:unhideWhenUsed/>
    <w:rsid w:val="00331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B4B"/>
    <w:rPr>
      <w:sz w:val="20"/>
      <w:szCs w:val="20"/>
    </w:rPr>
  </w:style>
  <w:style w:type="character" w:styleId="FootnoteReference">
    <w:name w:val="footnote reference"/>
    <w:basedOn w:val="DefaultParagraphFont"/>
    <w:uiPriority w:val="99"/>
    <w:unhideWhenUsed/>
    <w:rsid w:val="00331B4B"/>
    <w:rPr>
      <w:vertAlign w:val="superscript"/>
    </w:rPr>
  </w:style>
  <w:style w:type="character" w:customStyle="1" w:styleId="UnresolvedMention1">
    <w:name w:val="Unresolved Mention1"/>
    <w:basedOn w:val="DefaultParagraphFont"/>
    <w:uiPriority w:val="99"/>
    <w:semiHidden/>
    <w:unhideWhenUsed/>
    <w:rsid w:val="00331B4B"/>
    <w:rPr>
      <w:color w:val="605E5C"/>
      <w:shd w:val="clear" w:color="auto" w:fill="E1DFDD"/>
    </w:rPr>
  </w:style>
  <w:style w:type="paragraph" w:styleId="EndnoteText">
    <w:name w:val="endnote text"/>
    <w:basedOn w:val="Normal"/>
    <w:link w:val="EndnoteTextChar"/>
    <w:uiPriority w:val="99"/>
    <w:semiHidden/>
    <w:unhideWhenUsed/>
    <w:rsid w:val="00C122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228B"/>
    <w:rPr>
      <w:sz w:val="20"/>
      <w:szCs w:val="20"/>
    </w:rPr>
  </w:style>
  <w:style w:type="character" w:styleId="EndnoteReference">
    <w:name w:val="endnote reference"/>
    <w:basedOn w:val="DefaultParagraphFont"/>
    <w:uiPriority w:val="99"/>
    <w:semiHidden/>
    <w:unhideWhenUsed/>
    <w:rsid w:val="00C1228B"/>
    <w:rPr>
      <w:vertAlign w:val="superscript"/>
    </w:rPr>
  </w:style>
  <w:style w:type="paragraph" w:styleId="Quote">
    <w:name w:val="Quote"/>
    <w:basedOn w:val="NoSpacing"/>
    <w:next w:val="Normal"/>
    <w:link w:val="QuoteChar"/>
    <w:uiPriority w:val="29"/>
    <w:qFormat/>
    <w:rsid w:val="00D74D2C"/>
    <w:pPr>
      <w:spacing w:after="160"/>
      <w:ind w:left="720"/>
    </w:pPr>
    <w:rPr>
      <w:lang w:val="en-GB"/>
    </w:rPr>
  </w:style>
  <w:style w:type="character" w:customStyle="1" w:styleId="QuoteChar">
    <w:name w:val="Quote Char"/>
    <w:basedOn w:val="DefaultParagraphFont"/>
    <w:link w:val="Quote"/>
    <w:uiPriority w:val="29"/>
    <w:rsid w:val="00D74D2C"/>
    <w:rPr>
      <w:rFonts w:eastAsiaTheme="minorEastAsia"/>
    </w:rPr>
  </w:style>
  <w:style w:type="paragraph" w:styleId="NormalWeb">
    <w:name w:val="Normal (Web)"/>
    <w:basedOn w:val="Normal"/>
    <w:uiPriority w:val="99"/>
    <w:semiHidden/>
    <w:unhideWhenUsed/>
    <w:rsid w:val="004B285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AE7887"/>
    <w:rPr>
      <w:rFonts w:eastAsiaTheme="majorEastAsia" w:cstheme="minorHAnsi"/>
      <w:b/>
      <w:bCs/>
      <w:sz w:val="24"/>
      <w:szCs w:val="24"/>
    </w:rPr>
  </w:style>
  <w:style w:type="character" w:styleId="CommentReference">
    <w:name w:val="annotation reference"/>
    <w:basedOn w:val="DefaultParagraphFont"/>
    <w:uiPriority w:val="99"/>
    <w:semiHidden/>
    <w:unhideWhenUsed/>
    <w:rsid w:val="0037214E"/>
    <w:rPr>
      <w:sz w:val="16"/>
      <w:szCs w:val="16"/>
    </w:rPr>
  </w:style>
  <w:style w:type="paragraph" w:styleId="CommentText">
    <w:name w:val="annotation text"/>
    <w:basedOn w:val="Normal"/>
    <w:link w:val="CommentTextChar"/>
    <w:uiPriority w:val="99"/>
    <w:unhideWhenUsed/>
    <w:rsid w:val="0037214E"/>
    <w:pPr>
      <w:spacing w:line="240" w:lineRule="auto"/>
    </w:pPr>
    <w:rPr>
      <w:sz w:val="20"/>
      <w:szCs w:val="20"/>
    </w:rPr>
  </w:style>
  <w:style w:type="character" w:customStyle="1" w:styleId="CommentTextChar">
    <w:name w:val="Comment Text Char"/>
    <w:basedOn w:val="DefaultParagraphFont"/>
    <w:link w:val="CommentText"/>
    <w:uiPriority w:val="99"/>
    <w:rsid w:val="0037214E"/>
    <w:rPr>
      <w:sz w:val="20"/>
      <w:szCs w:val="20"/>
    </w:rPr>
  </w:style>
  <w:style w:type="paragraph" w:styleId="CommentSubject">
    <w:name w:val="annotation subject"/>
    <w:basedOn w:val="CommentText"/>
    <w:next w:val="CommentText"/>
    <w:link w:val="CommentSubjectChar"/>
    <w:uiPriority w:val="99"/>
    <w:semiHidden/>
    <w:unhideWhenUsed/>
    <w:rsid w:val="0037214E"/>
    <w:rPr>
      <w:b/>
      <w:bCs/>
    </w:rPr>
  </w:style>
  <w:style w:type="character" w:customStyle="1" w:styleId="CommentSubjectChar">
    <w:name w:val="Comment Subject Char"/>
    <w:basedOn w:val="CommentTextChar"/>
    <w:link w:val="CommentSubject"/>
    <w:uiPriority w:val="99"/>
    <w:semiHidden/>
    <w:rsid w:val="0037214E"/>
    <w:rPr>
      <w:b/>
      <w:bCs/>
      <w:sz w:val="20"/>
      <w:szCs w:val="20"/>
    </w:rPr>
  </w:style>
  <w:style w:type="character" w:styleId="Emphasis">
    <w:name w:val="Emphasis"/>
    <w:basedOn w:val="DefaultParagraphFont"/>
    <w:uiPriority w:val="20"/>
    <w:rsid w:val="00122D1F"/>
    <w:rPr>
      <w:i/>
      <w:iCs/>
    </w:rPr>
  </w:style>
  <w:style w:type="paragraph" w:styleId="BalloonText">
    <w:name w:val="Balloon Text"/>
    <w:basedOn w:val="Normal"/>
    <w:link w:val="BalloonTextChar"/>
    <w:uiPriority w:val="99"/>
    <w:semiHidden/>
    <w:unhideWhenUsed/>
    <w:rsid w:val="00324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0C"/>
    <w:rPr>
      <w:rFonts w:ascii="Segoe UI" w:hAnsi="Segoe UI" w:cs="Segoe UI"/>
      <w:sz w:val="18"/>
      <w:szCs w:val="18"/>
    </w:rPr>
  </w:style>
  <w:style w:type="character" w:customStyle="1" w:styleId="UnresolvedMention2">
    <w:name w:val="Unresolved Mention2"/>
    <w:basedOn w:val="DefaultParagraphFont"/>
    <w:uiPriority w:val="99"/>
    <w:semiHidden/>
    <w:unhideWhenUsed/>
    <w:rsid w:val="00AB2A11"/>
    <w:rPr>
      <w:color w:val="605E5C"/>
      <w:shd w:val="clear" w:color="auto" w:fill="E1DFDD"/>
    </w:rPr>
  </w:style>
  <w:style w:type="table" w:styleId="TableGrid">
    <w:name w:val="Table Grid"/>
    <w:basedOn w:val="TableNormal"/>
    <w:uiPriority w:val="39"/>
    <w:rsid w:val="0013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501D"/>
    <w:rPr>
      <w:color w:val="954F72" w:themeColor="followedHyperlink"/>
      <w:u w:val="single"/>
    </w:rPr>
  </w:style>
  <w:style w:type="paragraph" w:styleId="Subtitle">
    <w:name w:val="Subtitle"/>
    <w:basedOn w:val="Normal"/>
    <w:next w:val="Normal"/>
    <w:link w:val="SubtitleChar"/>
    <w:uiPriority w:val="11"/>
    <w:qFormat/>
    <w:rsid w:val="00970C8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70C88"/>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2C29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C2976"/>
    <w:rPr>
      <w:i/>
      <w:iCs/>
      <w:color w:val="4472C4" w:themeColor="accent1"/>
      <w:sz w:val="24"/>
      <w:szCs w:val="24"/>
    </w:rPr>
  </w:style>
  <w:style w:type="character" w:customStyle="1" w:styleId="UnresolvedMention3">
    <w:name w:val="Unresolved Mention3"/>
    <w:basedOn w:val="DefaultParagraphFont"/>
    <w:uiPriority w:val="99"/>
    <w:semiHidden/>
    <w:unhideWhenUsed/>
    <w:rsid w:val="003F0A14"/>
    <w:rPr>
      <w:color w:val="605E5C"/>
      <w:shd w:val="clear" w:color="auto" w:fill="E1DFDD"/>
    </w:rPr>
  </w:style>
  <w:style w:type="character" w:styleId="UnresolvedMention">
    <w:name w:val="Unresolved Mention"/>
    <w:basedOn w:val="DefaultParagraphFont"/>
    <w:uiPriority w:val="99"/>
    <w:semiHidden/>
    <w:unhideWhenUsed/>
    <w:rsid w:val="00920CB0"/>
    <w:rPr>
      <w:color w:val="605E5C"/>
      <w:shd w:val="clear" w:color="auto" w:fill="E1DFDD"/>
    </w:rPr>
  </w:style>
  <w:style w:type="paragraph" w:styleId="TOC4">
    <w:name w:val="toc 4"/>
    <w:basedOn w:val="Normal"/>
    <w:next w:val="Normal"/>
    <w:autoRedefine/>
    <w:uiPriority w:val="39"/>
    <w:semiHidden/>
    <w:unhideWhenUsed/>
    <w:rsid w:val="003E5B08"/>
    <w:pPr>
      <w:spacing w:after="0"/>
      <w:ind w:left="720"/>
    </w:pPr>
    <w:rPr>
      <w:rFonts w:cstheme="minorHAnsi"/>
      <w:sz w:val="20"/>
      <w:szCs w:val="20"/>
    </w:rPr>
  </w:style>
  <w:style w:type="paragraph" w:styleId="TOC5">
    <w:name w:val="toc 5"/>
    <w:basedOn w:val="Normal"/>
    <w:next w:val="Normal"/>
    <w:autoRedefine/>
    <w:uiPriority w:val="39"/>
    <w:semiHidden/>
    <w:unhideWhenUsed/>
    <w:rsid w:val="003E5B08"/>
    <w:pPr>
      <w:spacing w:after="0"/>
      <w:ind w:left="960"/>
    </w:pPr>
    <w:rPr>
      <w:rFonts w:cstheme="minorHAnsi"/>
      <w:sz w:val="20"/>
      <w:szCs w:val="20"/>
    </w:rPr>
  </w:style>
  <w:style w:type="paragraph" w:styleId="TOC6">
    <w:name w:val="toc 6"/>
    <w:basedOn w:val="Normal"/>
    <w:next w:val="Normal"/>
    <w:autoRedefine/>
    <w:uiPriority w:val="39"/>
    <w:semiHidden/>
    <w:unhideWhenUsed/>
    <w:rsid w:val="003E5B08"/>
    <w:pPr>
      <w:spacing w:after="0"/>
      <w:ind w:left="1200"/>
    </w:pPr>
    <w:rPr>
      <w:rFonts w:cstheme="minorHAnsi"/>
      <w:sz w:val="20"/>
      <w:szCs w:val="20"/>
    </w:rPr>
  </w:style>
  <w:style w:type="paragraph" w:styleId="TOC7">
    <w:name w:val="toc 7"/>
    <w:basedOn w:val="Normal"/>
    <w:next w:val="Normal"/>
    <w:autoRedefine/>
    <w:uiPriority w:val="39"/>
    <w:semiHidden/>
    <w:unhideWhenUsed/>
    <w:rsid w:val="003E5B08"/>
    <w:pPr>
      <w:spacing w:after="0"/>
      <w:ind w:left="1440"/>
    </w:pPr>
    <w:rPr>
      <w:rFonts w:cstheme="minorHAnsi"/>
      <w:sz w:val="20"/>
      <w:szCs w:val="20"/>
    </w:rPr>
  </w:style>
  <w:style w:type="paragraph" w:styleId="TOC8">
    <w:name w:val="toc 8"/>
    <w:basedOn w:val="Normal"/>
    <w:next w:val="Normal"/>
    <w:autoRedefine/>
    <w:uiPriority w:val="39"/>
    <w:semiHidden/>
    <w:unhideWhenUsed/>
    <w:rsid w:val="003E5B08"/>
    <w:pPr>
      <w:spacing w:after="0"/>
      <w:ind w:left="1680"/>
    </w:pPr>
    <w:rPr>
      <w:rFonts w:cstheme="minorHAnsi"/>
      <w:sz w:val="20"/>
      <w:szCs w:val="20"/>
    </w:rPr>
  </w:style>
  <w:style w:type="paragraph" w:styleId="TOC9">
    <w:name w:val="toc 9"/>
    <w:basedOn w:val="Normal"/>
    <w:next w:val="Normal"/>
    <w:autoRedefine/>
    <w:uiPriority w:val="39"/>
    <w:semiHidden/>
    <w:unhideWhenUsed/>
    <w:rsid w:val="003E5B08"/>
    <w:pPr>
      <w:spacing w:after="0"/>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5497">
      <w:bodyDiv w:val="1"/>
      <w:marLeft w:val="0"/>
      <w:marRight w:val="0"/>
      <w:marTop w:val="0"/>
      <w:marBottom w:val="0"/>
      <w:divBdr>
        <w:top w:val="none" w:sz="0" w:space="0" w:color="auto"/>
        <w:left w:val="none" w:sz="0" w:space="0" w:color="auto"/>
        <w:bottom w:val="none" w:sz="0" w:space="0" w:color="auto"/>
        <w:right w:val="none" w:sz="0" w:space="0" w:color="auto"/>
      </w:divBdr>
    </w:div>
    <w:div w:id="272520346">
      <w:bodyDiv w:val="1"/>
      <w:marLeft w:val="0"/>
      <w:marRight w:val="0"/>
      <w:marTop w:val="0"/>
      <w:marBottom w:val="0"/>
      <w:divBdr>
        <w:top w:val="none" w:sz="0" w:space="0" w:color="auto"/>
        <w:left w:val="none" w:sz="0" w:space="0" w:color="auto"/>
        <w:bottom w:val="none" w:sz="0" w:space="0" w:color="auto"/>
        <w:right w:val="none" w:sz="0" w:space="0" w:color="auto"/>
      </w:divBdr>
    </w:div>
    <w:div w:id="282229095">
      <w:bodyDiv w:val="1"/>
      <w:marLeft w:val="0"/>
      <w:marRight w:val="0"/>
      <w:marTop w:val="0"/>
      <w:marBottom w:val="0"/>
      <w:divBdr>
        <w:top w:val="none" w:sz="0" w:space="0" w:color="auto"/>
        <w:left w:val="none" w:sz="0" w:space="0" w:color="auto"/>
        <w:bottom w:val="none" w:sz="0" w:space="0" w:color="auto"/>
        <w:right w:val="none" w:sz="0" w:space="0" w:color="auto"/>
      </w:divBdr>
    </w:div>
    <w:div w:id="301350075">
      <w:bodyDiv w:val="1"/>
      <w:marLeft w:val="0"/>
      <w:marRight w:val="0"/>
      <w:marTop w:val="0"/>
      <w:marBottom w:val="0"/>
      <w:divBdr>
        <w:top w:val="none" w:sz="0" w:space="0" w:color="auto"/>
        <w:left w:val="none" w:sz="0" w:space="0" w:color="auto"/>
        <w:bottom w:val="none" w:sz="0" w:space="0" w:color="auto"/>
        <w:right w:val="none" w:sz="0" w:space="0" w:color="auto"/>
      </w:divBdr>
    </w:div>
    <w:div w:id="365301898">
      <w:bodyDiv w:val="1"/>
      <w:marLeft w:val="0"/>
      <w:marRight w:val="0"/>
      <w:marTop w:val="0"/>
      <w:marBottom w:val="0"/>
      <w:divBdr>
        <w:top w:val="none" w:sz="0" w:space="0" w:color="auto"/>
        <w:left w:val="none" w:sz="0" w:space="0" w:color="auto"/>
        <w:bottom w:val="none" w:sz="0" w:space="0" w:color="auto"/>
        <w:right w:val="none" w:sz="0" w:space="0" w:color="auto"/>
      </w:divBdr>
    </w:div>
    <w:div w:id="396244782">
      <w:bodyDiv w:val="1"/>
      <w:marLeft w:val="0"/>
      <w:marRight w:val="0"/>
      <w:marTop w:val="0"/>
      <w:marBottom w:val="0"/>
      <w:divBdr>
        <w:top w:val="none" w:sz="0" w:space="0" w:color="auto"/>
        <w:left w:val="none" w:sz="0" w:space="0" w:color="auto"/>
        <w:bottom w:val="none" w:sz="0" w:space="0" w:color="auto"/>
        <w:right w:val="none" w:sz="0" w:space="0" w:color="auto"/>
      </w:divBdr>
    </w:div>
    <w:div w:id="499347674">
      <w:bodyDiv w:val="1"/>
      <w:marLeft w:val="0"/>
      <w:marRight w:val="0"/>
      <w:marTop w:val="0"/>
      <w:marBottom w:val="0"/>
      <w:divBdr>
        <w:top w:val="none" w:sz="0" w:space="0" w:color="auto"/>
        <w:left w:val="none" w:sz="0" w:space="0" w:color="auto"/>
        <w:bottom w:val="none" w:sz="0" w:space="0" w:color="auto"/>
        <w:right w:val="none" w:sz="0" w:space="0" w:color="auto"/>
      </w:divBdr>
    </w:div>
    <w:div w:id="590890286">
      <w:bodyDiv w:val="1"/>
      <w:marLeft w:val="0"/>
      <w:marRight w:val="0"/>
      <w:marTop w:val="0"/>
      <w:marBottom w:val="0"/>
      <w:divBdr>
        <w:top w:val="none" w:sz="0" w:space="0" w:color="auto"/>
        <w:left w:val="none" w:sz="0" w:space="0" w:color="auto"/>
        <w:bottom w:val="none" w:sz="0" w:space="0" w:color="auto"/>
        <w:right w:val="none" w:sz="0" w:space="0" w:color="auto"/>
      </w:divBdr>
    </w:div>
    <w:div w:id="598373242">
      <w:bodyDiv w:val="1"/>
      <w:marLeft w:val="0"/>
      <w:marRight w:val="0"/>
      <w:marTop w:val="0"/>
      <w:marBottom w:val="0"/>
      <w:divBdr>
        <w:top w:val="none" w:sz="0" w:space="0" w:color="auto"/>
        <w:left w:val="none" w:sz="0" w:space="0" w:color="auto"/>
        <w:bottom w:val="none" w:sz="0" w:space="0" w:color="auto"/>
        <w:right w:val="none" w:sz="0" w:space="0" w:color="auto"/>
      </w:divBdr>
    </w:div>
    <w:div w:id="671176132">
      <w:bodyDiv w:val="1"/>
      <w:marLeft w:val="0"/>
      <w:marRight w:val="0"/>
      <w:marTop w:val="0"/>
      <w:marBottom w:val="0"/>
      <w:divBdr>
        <w:top w:val="none" w:sz="0" w:space="0" w:color="auto"/>
        <w:left w:val="none" w:sz="0" w:space="0" w:color="auto"/>
        <w:bottom w:val="none" w:sz="0" w:space="0" w:color="auto"/>
        <w:right w:val="none" w:sz="0" w:space="0" w:color="auto"/>
      </w:divBdr>
    </w:div>
    <w:div w:id="680206849">
      <w:bodyDiv w:val="1"/>
      <w:marLeft w:val="0"/>
      <w:marRight w:val="0"/>
      <w:marTop w:val="0"/>
      <w:marBottom w:val="0"/>
      <w:divBdr>
        <w:top w:val="none" w:sz="0" w:space="0" w:color="auto"/>
        <w:left w:val="none" w:sz="0" w:space="0" w:color="auto"/>
        <w:bottom w:val="none" w:sz="0" w:space="0" w:color="auto"/>
        <w:right w:val="none" w:sz="0" w:space="0" w:color="auto"/>
      </w:divBdr>
    </w:div>
    <w:div w:id="703946544">
      <w:bodyDiv w:val="1"/>
      <w:marLeft w:val="0"/>
      <w:marRight w:val="0"/>
      <w:marTop w:val="0"/>
      <w:marBottom w:val="0"/>
      <w:divBdr>
        <w:top w:val="none" w:sz="0" w:space="0" w:color="auto"/>
        <w:left w:val="none" w:sz="0" w:space="0" w:color="auto"/>
        <w:bottom w:val="none" w:sz="0" w:space="0" w:color="auto"/>
        <w:right w:val="none" w:sz="0" w:space="0" w:color="auto"/>
      </w:divBdr>
    </w:div>
    <w:div w:id="720176626">
      <w:bodyDiv w:val="1"/>
      <w:marLeft w:val="0"/>
      <w:marRight w:val="0"/>
      <w:marTop w:val="0"/>
      <w:marBottom w:val="0"/>
      <w:divBdr>
        <w:top w:val="none" w:sz="0" w:space="0" w:color="auto"/>
        <w:left w:val="none" w:sz="0" w:space="0" w:color="auto"/>
        <w:bottom w:val="none" w:sz="0" w:space="0" w:color="auto"/>
        <w:right w:val="none" w:sz="0" w:space="0" w:color="auto"/>
      </w:divBdr>
    </w:div>
    <w:div w:id="756561990">
      <w:bodyDiv w:val="1"/>
      <w:marLeft w:val="0"/>
      <w:marRight w:val="0"/>
      <w:marTop w:val="0"/>
      <w:marBottom w:val="0"/>
      <w:divBdr>
        <w:top w:val="none" w:sz="0" w:space="0" w:color="auto"/>
        <w:left w:val="none" w:sz="0" w:space="0" w:color="auto"/>
        <w:bottom w:val="none" w:sz="0" w:space="0" w:color="auto"/>
        <w:right w:val="none" w:sz="0" w:space="0" w:color="auto"/>
      </w:divBdr>
    </w:div>
    <w:div w:id="846989232">
      <w:bodyDiv w:val="1"/>
      <w:marLeft w:val="0"/>
      <w:marRight w:val="0"/>
      <w:marTop w:val="0"/>
      <w:marBottom w:val="0"/>
      <w:divBdr>
        <w:top w:val="none" w:sz="0" w:space="0" w:color="auto"/>
        <w:left w:val="none" w:sz="0" w:space="0" w:color="auto"/>
        <w:bottom w:val="none" w:sz="0" w:space="0" w:color="auto"/>
        <w:right w:val="none" w:sz="0" w:space="0" w:color="auto"/>
      </w:divBdr>
    </w:div>
    <w:div w:id="852063384">
      <w:bodyDiv w:val="1"/>
      <w:marLeft w:val="0"/>
      <w:marRight w:val="0"/>
      <w:marTop w:val="0"/>
      <w:marBottom w:val="0"/>
      <w:divBdr>
        <w:top w:val="none" w:sz="0" w:space="0" w:color="auto"/>
        <w:left w:val="none" w:sz="0" w:space="0" w:color="auto"/>
        <w:bottom w:val="none" w:sz="0" w:space="0" w:color="auto"/>
        <w:right w:val="none" w:sz="0" w:space="0" w:color="auto"/>
      </w:divBdr>
    </w:div>
    <w:div w:id="1008024159">
      <w:bodyDiv w:val="1"/>
      <w:marLeft w:val="0"/>
      <w:marRight w:val="0"/>
      <w:marTop w:val="0"/>
      <w:marBottom w:val="0"/>
      <w:divBdr>
        <w:top w:val="none" w:sz="0" w:space="0" w:color="auto"/>
        <w:left w:val="none" w:sz="0" w:space="0" w:color="auto"/>
        <w:bottom w:val="none" w:sz="0" w:space="0" w:color="auto"/>
        <w:right w:val="none" w:sz="0" w:space="0" w:color="auto"/>
      </w:divBdr>
    </w:div>
    <w:div w:id="1034307423">
      <w:bodyDiv w:val="1"/>
      <w:marLeft w:val="0"/>
      <w:marRight w:val="0"/>
      <w:marTop w:val="0"/>
      <w:marBottom w:val="0"/>
      <w:divBdr>
        <w:top w:val="none" w:sz="0" w:space="0" w:color="auto"/>
        <w:left w:val="none" w:sz="0" w:space="0" w:color="auto"/>
        <w:bottom w:val="none" w:sz="0" w:space="0" w:color="auto"/>
        <w:right w:val="none" w:sz="0" w:space="0" w:color="auto"/>
      </w:divBdr>
    </w:div>
    <w:div w:id="1036655771">
      <w:bodyDiv w:val="1"/>
      <w:marLeft w:val="0"/>
      <w:marRight w:val="0"/>
      <w:marTop w:val="0"/>
      <w:marBottom w:val="0"/>
      <w:divBdr>
        <w:top w:val="none" w:sz="0" w:space="0" w:color="auto"/>
        <w:left w:val="none" w:sz="0" w:space="0" w:color="auto"/>
        <w:bottom w:val="none" w:sz="0" w:space="0" w:color="auto"/>
        <w:right w:val="none" w:sz="0" w:space="0" w:color="auto"/>
      </w:divBdr>
    </w:div>
    <w:div w:id="1040588982">
      <w:bodyDiv w:val="1"/>
      <w:marLeft w:val="0"/>
      <w:marRight w:val="0"/>
      <w:marTop w:val="0"/>
      <w:marBottom w:val="0"/>
      <w:divBdr>
        <w:top w:val="none" w:sz="0" w:space="0" w:color="auto"/>
        <w:left w:val="none" w:sz="0" w:space="0" w:color="auto"/>
        <w:bottom w:val="none" w:sz="0" w:space="0" w:color="auto"/>
        <w:right w:val="none" w:sz="0" w:space="0" w:color="auto"/>
      </w:divBdr>
    </w:div>
    <w:div w:id="1060707731">
      <w:bodyDiv w:val="1"/>
      <w:marLeft w:val="0"/>
      <w:marRight w:val="0"/>
      <w:marTop w:val="0"/>
      <w:marBottom w:val="0"/>
      <w:divBdr>
        <w:top w:val="none" w:sz="0" w:space="0" w:color="auto"/>
        <w:left w:val="none" w:sz="0" w:space="0" w:color="auto"/>
        <w:bottom w:val="none" w:sz="0" w:space="0" w:color="auto"/>
        <w:right w:val="none" w:sz="0" w:space="0" w:color="auto"/>
      </w:divBdr>
    </w:div>
    <w:div w:id="1099182716">
      <w:bodyDiv w:val="1"/>
      <w:marLeft w:val="0"/>
      <w:marRight w:val="0"/>
      <w:marTop w:val="0"/>
      <w:marBottom w:val="0"/>
      <w:divBdr>
        <w:top w:val="none" w:sz="0" w:space="0" w:color="auto"/>
        <w:left w:val="none" w:sz="0" w:space="0" w:color="auto"/>
        <w:bottom w:val="none" w:sz="0" w:space="0" w:color="auto"/>
        <w:right w:val="none" w:sz="0" w:space="0" w:color="auto"/>
      </w:divBdr>
    </w:div>
    <w:div w:id="1141267552">
      <w:bodyDiv w:val="1"/>
      <w:marLeft w:val="0"/>
      <w:marRight w:val="0"/>
      <w:marTop w:val="0"/>
      <w:marBottom w:val="0"/>
      <w:divBdr>
        <w:top w:val="none" w:sz="0" w:space="0" w:color="auto"/>
        <w:left w:val="none" w:sz="0" w:space="0" w:color="auto"/>
        <w:bottom w:val="none" w:sz="0" w:space="0" w:color="auto"/>
        <w:right w:val="none" w:sz="0" w:space="0" w:color="auto"/>
      </w:divBdr>
    </w:div>
    <w:div w:id="1169253283">
      <w:bodyDiv w:val="1"/>
      <w:marLeft w:val="0"/>
      <w:marRight w:val="0"/>
      <w:marTop w:val="0"/>
      <w:marBottom w:val="0"/>
      <w:divBdr>
        <w:top w:val="none" w:sz="0" w:space="0" w:color="auto"/>
        <w:left w:val="none" w:sz="0" w:space="0" w:color="auto"/>
        <w:bottom w:val="none" w:sz="0" w:space="0" w:color="auto"/>
        <w:right w:val="none" w:sz="0" w:space="0" w:color="auto"/>
      </w:divBdr>
    </w:div>
    <w:div w:id="1238202682">
      <w:bodyDiv w:val="1"/>
      <w:marLeft w:val="0"/>
      <w:marRight w:val="0"/>
      <w:marTop w:val="0"/>
      <w:marBottom w:val="0"/>
      <w:divBdr>
        <w:top w:val="none" w:sz="0" w:space="0" w:color="auto"/>
        <w:left w:val="none" w:sz="0" w:space="0" w:color="auto"/>
        <w:bottom w:val="none" w:sz="0" w:space="0" w:color="auto"/>
        <w:right w:val="none" w:sz="0" w:space="0" w:color="auto"/>
      </w:divBdr>
    </w:div>
    <w:div w:id="1248729952">
      <w:bodyDiv w:val="1"/>
      <w:marLeft w:val="0"/>
      <w:marRight w:val="0"/>
      <w:marTop w:val="0"/>
      <w:marBottom w:val="0"/>
      <w:divBdr>
        <w:top w:val="none" w:sz="0" w:space="0" w:color="auto"/>
        <w:left w:val="none" w:sz="0" w:space="0" w:color="auto"/>
        <w:bottom w:val="none" w:sz="0" w:space="0" w:color="auto"/>
        <w:right w:val="none" w:sz="0" w:space="0" w:color="auto"/>
      </w:divBdr>
    </w:div>
    <w:div w:id="1305233245">
      <w:bodyDiv w:val="1"/>
      <w:marLeft w:val="0"/>
      <w:marRight w:val="0"/>
      <w:marTop w:val="0"/>
      <w:marBottom w:val="0"/>
      <w:divBdr>
        <w:top w:val="none" w:sz="0" w:space="0" w:color="auto"/>
        <w:left w:val="none" w:sz="0" w:space="0" w:color="auto"/>
        <w:bottom w:val="none" w:sz="0" w:space="0" w:color="auto"/>
        <w:right w:val="none" w:sz="0" w:space="0" w:color="auto"/>
      </w:divBdr>
    </w:div>
    <w:div w:id="1306815545">
      <w:bodyDiv w:val="1"/>
      <w:marLeft w:val="0"/>
      <w:marRight w:val="0"/>
      <w:marTop w:val="0"/>
      <w:marBottom w:val="0"/>
      <w:divBdr>
        <w:top w:val="none" w:sz="0" w:space="0" w:color="auto"/>
        <w:left w:val="none" w:sz="0" w:space="0" w:color="auto"/>
        <w:bottom w:val="none" w:sz="0" w:space="0" w:color="auto"/>
        <w:right w:val="none" w:sz="0" w:space="0" w:color="auto"/>
      </w:divBdr>
    </w:div>
    <w:div w:id="1402875345">
      <w:bodyDiv w:val="1"/>
      <w:marLeft w:val="0"/>
      <w:marRight w:val="0"/>
      <w:marTop w:val="0"/>
      <w:marBottom w:val="0"/>
      <w:divBdr>
        <w:top w:val="none" w:sz="0" w:space="0" w:color="auto"/>
        <w:left w:val="none" w:sz="0" w:space="0" w:color="auto"/>
        <w:bottom w:val="none" w:sz="0" w:space="0" w:color="auto"/>
        <w:right w:val="none" w:sz="0" w:space="0" w:color="auto"/>
      </w:divBdr>
    </w:div>
    <w:div w:id="1440754890">
      <w:bodyDiv w:val="1"/>
      <w:marLeft w:val="0"/>
      <w:marRight w:val="0"/>
      <w:marTop w:val="0"/>
      <w:marBottom w:val="0"/>
      <w:divBdr>
        <w:top w:val="none" w:sz="0" w:space="0" w:color="auto"/>
        <w:left w:val="none" w:sz="0" w:space="0" w:color="auto"/>
        <w:bottom w:val="none" w:sz="0" w:space="0" w:color="auto"/>
        <w:right w:val="none" w:sz="0" w:space="0" w:color="auto"/>
      </w:divBdr>
    </w:div>
    <w:div w:id="1444231232">
      <w:bodyDiv w:val="1"/>
      <w:marLeft w:val="0"/>
      <w:marRight w:val="0"/>
      <w:marTop w:val="0"/>
      <w:marBottom w:val="0"/>
      <w:divBdr>
        <w:top w:val="none" w:sz="0" w:space="0" w:color="auto"/>
        <w:left w:val="none" w:sz="0" w:space="0" w:color="auto"/>
        <w:bottom w:val="none" w:sz="0" w:space="0" w:color="auto"/>
        <w:right w:val="none" w:sz="0" w:space="0" w:color="auto"/>
      </w:divBdr>
    </w:div>
    <w:div w:id="1459296693">
      <w:bodyDiv w:val="1"/>
      <w:marLeft w:val="0"/>
      <w:marRight w:val="0"/>
      <w:marTop w:val="0"/>
      <w:marBottom w:val="0"/>
      <w:divBdr>
        <w:top w:val="none" w:sz="0" w:space="0" w:color="auto"/>
        <w:left w:val="none" w:sz="0" w:space="0" w:color="auto"/>
        <w:bottom w:val="none" w:sz="0" w:space="0" w:color="auto"/>
        <w:right w:val="none" w:sz="0" w:space="0" w:color="auto"/>
      </w:divBdr>
    </w:div>
    <w:div w:id="1497770487">
      <w:bodyDiv w:val="1"/>
      <w:marLeft w:val="0"/>
      <w:marRight w:val="0"/>
      <w:marTop w:val="0"/>
      <w:marBottom w:val="0"/>
      <w:divBdr>
        <w:top w:val="none" w:sz="0" w:space="0" w:color="auto"/>
        <w:left w:val="none" w:sz="0" w:space="0" w:color="auto"/>
        <w:bottom w:val="none" w:sz="0" w:space="0" w:color="auto"/>
        <w:right w:val="none" w:sz="0" w:space="0" w:color="auto"/>
      </w:divBdr>
    </w:div>
    <w:div w:id="1557010631">
      <w:bodyDiv w:val="1"/>
      <w:marLeft w:val="0"/>
      <w:marRight w:val="0"/>
      <w:marTop w:val="0"/>
      <w:marBottom w:val="0"/>
      <w:divBdr>
        <w:top w:val="none" w:sz="0" w:space="0" w:color="auto"/>
        <w:left w:val="none" w:sz="0" w:space="0" w:color="auto"/>
        <w:bottom w:val="none" w:sz="0" w:space="0" w:color="auto"/>
        <w:right w:val="none" w:sz="0" w:space="0" w:color="auto"/>
      </w:divBdr>
    </w:div>
    <w:div w:id="1557547739">
      <w:bodyDiv w:val="1"/>
      <w:marLeft w:val="0"/>
      <w:marRight w:val="0"/>
      <w:marTop w:val="0"/>
      <w:marBottom w:val="0"/>
      <w:divBdr>
        <w:top w:val="none" w:sz="0" w:space="0" w:color="auto"/>
        <w:left w:val="none" w:sz="0" w:space="0" w:color="auto"/>
        <w:bottom w:val="none" w:sz="0" w:space="0" w:color="auto"/>
        <w:right w:val="none" w:sz="0" w:space="0" w:color="auto"/>
      </w:divBdr>
    </w:div>
    <w:div w:id="1761217920">
      <w:bodyDiv w:val="1"/>
      <w:marLeft w:val="0"/>
      <w:marRight w:val="0"/>
      <w:marTop w:val="0"/>
      <w:marBottom w:val="0"/>
      <w:divBdr>
        <w:top w:val="none" w:sz="0" w:space="0" w:color="auto"/>
        <w:left w:val="none" w:sz="0" w:space="0" w:color="auto"/>
        <w:bottom w:val="none" w:sz="0" w:space="0" w:color="auto"/>
        <w:right w:val="none" w:sz="0" w:space="0" w:color="auto"/>
      </w:divBdr>
    </w:div>
    <w:div w:id="1842308732">
      <w:bodyDiv w:val="1"/>
      <w:marLeft w:val="0"/>
      <w:marRight w:val="0"/>
      <w:marTop w:val="0"/>
      <w:marBottom w:val="0"/>
      <w:divBdr>
        <w:top w:val="none" w:sz="0" w:space="0" w:color="auto"/>
        <w:left w:val="none" w:sz="0" w:space="0" w:color="auto"/>
        <w:bottom w:val="none" w:sz="0" w:space="0" w:color="auto"/>
        <w:right w:val="none" w:sz="0" w:space="0" w:color="auto"/>
      </w:divBdr>
    </w:div>
    <w:div w:id="1908303275">
      <w:bodyDiv w:val="1"/>
      <w:marLeft w:val="0"/>
      <w:marRight w:val="0"/>
      <w:marTop w:val="0"/>
      <w:marBottom w:val="0"/>
      <w:divBdr>
        <w:top w:val="none" w:sz="0" w:space="0" w:color="auto"/>
        <w:left w:val="none" w:sz="0" w:space="0" w:color="auto"/>
        <w:bottom w:val="none" w:sz="0" w:space="0" w:color="auto"/>
        <w:right w:val="none" w:sz="0" w:space="0" w:color="auto"/>
      </w:divBdr>
    </w:div>
    <w:div w:id="1949267462">
      <w:bodyDiv w:val="1"/>
      <w:marLeft w:val="0"/>
      <w:marRight w:val="0"/>
      <w:marTop w:val="0"/>
      <w:marBottom w:val="0"/>
      <w:divBdr>
        <w:top w:val="none" w:sz="0" w:space="0" w:color="auto"/>
        <w:left w:val="none" w:sz="0" w:space="0" w:color="auto"/>
        <w:bottom w:val="none" w:sz="0" w:space="0" w:color="auto"/>
        <w:right w:val="none" w:sz="0" w:space="0" w:color="auto"/>
      </w:divBdr>
    </w:div>
    <w:div w:id="2052344616">
      <w:bodyDiv w:val="1"/>
      <w:marLeft w:val="0"/>
      <w:marRight w:val="0"/>
      <w:marTop w:val="0"/>
      <w:marBottom w:val="0"/>
      <w:divBdr>
        <w:top w:val="none" w:sz="0" w:space="0" w:color="auto"/>
        <w:left w:val="none" w:sz="0" w:space="0" w:color="auto"/>
        <w:bottom w:val="none" w:sz="0" w:space="0" w:color="auto"/>
        <w:right w:val="none" w:sz="0" w:space="0" w:color="auto"/>
      </w:divBdr>
    </w:div>
    <w:div w:id="2055227879">
      <w:bodyDiv w:val="1"/>
      <w:marLeft w:val="0"/>
      <w:marRight w:val="0"/>
      <w:marTop w:val="0"/>
      <w:marBottom w:val="0"/>
      <w:divBdr>
        <w:top w:val="none" w:sz="0" w:space="0" w:color="auto"/>
        <w:left w:val="none" w:sz="0" w:space="0" w:color="auto"/>
        <w:bottom w:val="none" w:sz="0" w:space="0" w:color="auto"/>
        <w:right w:val="none" w:sz="0" w:space="0" w:color="auto"/>
      </w:divBdr>
    </w:div>
    <w:div w:id="2112968145">
      <w:bodyDiv w:val="1"/>
      <w:marLeft w:val="0"/>
      <w:marRight w:val="0"/>
      <w:marTop w:val="0"/>
      <w:marBottom w:val="0"/>
      <w:divBdr>
        <w:top w:val="none" w:sz="0" w:space="0" w:color="auto"/>
        <w:left w:val="none" w:sz="0" w:space="0" w:color="auto"/>
        <w:bottom w:val="none" w:sz="0" w:space="0" w:color="auto"/>
        <w:right w:val="none" w:sz="0" w:space="0" w:color="auto"/>
      </w:divBdr>
    </w:div>
    <w:div w:id="21342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w-eurightshub@york.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urightshub.york.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europa.eu/youreurope/citizens/residence/brexit-residence-rights/uk-nationals-living-in-eu/index_en.htm" TargetMode="External"/><Relationship Id="rId3" Type="http://schemas.openxmlformats.org/officeDocument/2006/relationships/hyperlink" Target="file:///C:\Users\johne\York-Drive\EEA%20Project\Impact\Reports\Law%20School\%3c%20https:\www.jcwi.org.uk\Handlers\Download.ashx%3fIDMF=15c60f7e-17ff-4fa0-8f5d-df00cf2c5967" TargetMode="External"/><Relationship Id="rId7" Type="http://schemas.openxmlformats.org/officeDocument/2006/relationships/hyperlink" Target="file:///C:\Users\johne\York-Drive\EEA%20Project\Impact\Reports\Law%20School\migrationobservatory.ox.ac.uk\wp-content\uploads\2018\04\Report-Unse%20ttled_Status_3.pdf" TargetMode="External"/><Relationship Id="rId12" Type="http://schemas.openxmlformats.org/officeDocument/2006/relationships/hyperlink" Target="https://assets.publishing.service.gov.uk/government/uploads/system/uploads/attachment_data/file/868259/ICIBI_Inspection_of_the_EU_Settlement_Scheme__Apr_2019_to_Aug_2019_.pdf" TargetMode="External"/><Relationship Id="rId2" Type="http://schemas.openxmlformats.org/officeDocument/2006/relationships/hyperlink" Target="http://www.welt.de/politik/ausland/article201671420/Brandon-Lewis-Nach-dem-Brexit-droht-nic%20ht-registrierten-Deutschen-die-Abschiebung.html" TargetMode="External"/><Relationship Id="rId1" Type="http://schemas.openxmlformats.org/officeDocument/2006/relationships/hyperlink" Target="https://assets.publishing.service.gov.uk/government/uploads/system/uploads/attachment_data/file/974762/main-euss-guidance-v10.0.pdf" TargetMode="External"/><Relationship Id="rId6" Type="http://schemas.openxmlformats.org/officeDocument/2006/relationships/hyperlink" Target="https://www.gov.uk/government/publications/la-welfare-direct-bulletins-2021/la-welfare-direct-32021" TargetMode="External"/><Relationship Id="rId11" Type="http://schemas.openxmlformats.org/officeDocument/2006/relationships/hyperlink" Target="https://www.gov.uk/government/publications/eu-settlement-scheme-application-processing-times/eu-settlement-scheme-pilot-current-expected-processing-times-for-applications" TargetMode="External"/><Relationship Id="rId5" Type="http://schemas.openxmlformats.org/officeDocument/2006/relationships/hyperlink" Target="https://www.gov.uk/government/publications/eu-settlement-scheme-community-support-for-vulnerable-citizens/list-of-organisations" TargetMode="External"/><Relationship Id="rId10" Type="http://schemas.openxmlformats.org/officeDocument/2006/relationships/hyperlink" Target="https://static1.squarespace.com/static/5f3aa00c8a9f0607ba8b4e98/t/60535bf1c3f8f541ec7ac894/1616075780091/EU+Rights+Hub+-+Vulnerable+Adults+Briefing.pdf" TargetMode="External"/><Relationship Id="rId4" Type="http://schemas.openxmlformats.org/officeDocument/2006/relationships/hyperlink" Target="http://www.smf.co.uk/wp-content/uploads/2020/09/EU-%20migrants-workers-in-Fenland-Sept-20.pdf" TargetMode="External"/><Relationship Id="rId9" Type="http://schemas.openxmlformats.org/officeDocument/2006/relationships/hyperlink" Target="http://data.parliament.uk/writtenevidence/committeeevidence.svc/evidencedocument/home-affairs-committee/the-work-of-the-home-secretary/oral/9733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58DACA-9F67-4596-8045-1214187C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4848</Words>
  <Characters>25504</Characters>
  <Application>Microsoft Office Word</Application>
  <DocSecurity>0</DocSecurity>
  <Lines>850</Lines>
  <Paragraphs>246</Paragraphs>
  <ScaleCrop>false</ScaleCrop>
  <HeadingPairs>
    <vt:vector size="2" baseType="variant">
      <vt:variant>
        <vt:lpstr>Title</vt:lpstr>
      </vt:variant>
      <vt:variant>
        <vt:i4>1</vt:i4>
      </vt:variant>
    </vt:vector>
  </HeadingPairs>
  <TitlesOfParts>
    <vt:vector size="1" baseType="lpstr">
      <vt:lpstr>Local Authority Delivery of the EUSS</vt:lpstr>
    </vt:vector>
  </TitlesOfParts>
  <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Delivery of the EUSS</dc:title>
  <dc:subject/>
  <dc:creator>Professor Charlotte O’Brien and Dr Alice Welsh</dc:creator>
  <cp:keywords/>
  <dc:description/>
  <cp:lastModifiedBy>Alice Welsh</cp:lastModifiedBy>
  <cp:revision>3</cp:revision>
  <cp:lastPrinted>2021-05-13T18:08:00Z</cp:lastPrinted>
  <dcterms:created xsi:type="dcterms:W3CDTF">2021-05-27T08:53:00Z</dcterms:created>
  <dcterms:modified xsi:type="dcterms:W3CDTF">2021-05-27T09:55:00Z</dcterms:modified>
</cp:coreProperties>
</file>